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C74735" w14:textId="1DAB1DE7" w:rsidR="00C82182" w:rsidRPr="00E62B62" w:rsidRDefault="00E62B62" w:rsidP="00E62B62">
      <w:pPr>
        <w:pStyle w:val="TOCHeading"/>
        <w:ind w:left="-1800"/>
        <w:rPr>
          <w:rFonts w:eastAsiaTheme="minorEastAsia" w:cstheme="minorBidi"/>
          <w:b w:val="0"/>
          <w:bCs w:val="0"/>
          <w:color w:val="595959" w:themeColor="text1" w:themeTint="A6"/>
          <w:sz w:val="20"/>
          <w:szCs w:val="24"/>
        </w:rPr>
      </w:pPr>
      <w:bookmarkStart w:id="0" w:name="_Toc390265529"/>
      <w:bookmarkStart w:id="1" w:name="_GoBack"/>
      <w:bookmarkEnd w:id="1"/>
      <w:r>
        <w:rPr>
          <w:noProof/>
        </w:rPr>
        <mc:AlternateContent>
          <mc:Choice Requires="wps">
            <w:drawing>
              <wp:anchor distT="0" distB="0" distL="114300" distR="114300" simplePos="0" relativeHeight="251664384" behindDoc="0" locked="0" layoutInCell="1" allowOverlap="1" wp14:anchorId="48A6F272" wp14:editId="7E34C9CA">
                <wp:simplePos x="0" y="0"/>
                <wp:positionH relativeFrom="column">
                  <wp:posOffset>-1143000</wp:posOffset>
                </wp:positionH>
                <wp:positionV relativeFrom="paragraph">
                  <wp:posOffset>6831965</wp:posOffset>
                </wp:positionV>
                <wp:extent cx="7772400" cy="202755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7772400" cy="2027555"/>
                        </a:xfrm>
                        <a:prstGeom prst="rect">
                          <a:avLst/>
                        </a:prstGeom>
                        <a:solidFill>
                          <a:schemeClr val="bg1">
                            <a:alpha val="49000"/>
                          </a:schemeClr>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8D3C902" w14:textId="68004F87" w:rsidR="00E62B62" w:rsidRPr="00527A52" w:rsidRDefault="00E62B62" w:rsidP="00E62B62">
                            <w:pPr>
                              <w:spacing w:after="240"/>
                              <w:jc w:val="center"/>
                              <w:rPr>
                                <w:b/>
                                <w:color w:val="1F497D" w:themeColor="text2"/>
                                <w:sz w:val="40"/>
                              </w:rPr>
                            </w:pPr>
                            <w:r w:rsidRPr="00527A52">
                              <w:rPr>
                                <w:b/>
                                <w:color w:val="1F497D" w:themeColor="text2"/>
                                <w:sz w:val="40"/>
                              </w:rPr>
                              <w:t xml:space="preserve">Green </w:t>
                            </w:r>
                            <w:r>
                              <w:rPr>
                                <w:b/>
                                <w:color w:val="1F497D" w:themeColor="text2"/>
                                <w:sz w:val="40"/>
                              </w:rPr>
                              <w:t>Power Design Approach and Feasibility Analysis</w:t>
                            </w:r>
                          </w:p>
                          <w:p w14:paraId="7FD31BAD" w14:textId="5CD2BD93" w:rsidR="00E62B62" w:rsidRPr="00625BC1" w:rsidRDefault="00E62B62" w:rsidP="00E62B62">
                            <w:pPr>
                              <w:spacing w:before="120"/>
                              <w:jc w:val="right"/>
                              <w:rPr>
                                <w:color w:val="auto"/>
                                <w:sz w:val="28"/>
                              </w:rPr>
                            </w:pPr>
                            <w:r w:rsidRPr="00625BC1">
                              <w:rPr>
                                <w:color w:val="auto"/>
                                <w:sz w:val="28"/>
                              </w:rPr>
                              <w:t xml:space="preserve">Green power for Mobile </w:t>
                            </w:r>
                            <w:r>
                              <w:rPr>
                                <w:color w:val="auto"/>
                                <w:sz w:val="28"/>
                              </w:rPr>
                              <w:t>Technical White Paper</w:t>
                            </w:r>
                          </w:p>
                          <w:p w14:paraId="60D9C6C3" w14:textId="20D35F6B" w:rsidR="00E62B62" w:rsidRPr="00625BC1" w:rsidRDefault="00E62B62" w:rsidP="00E62B62">
                            <w:pPr>
                              <w:spacing w:before="120"/>
                              <w:jc w:val="right"/>
                              <w:rPr>
                                <w:color w:val="auto"/>
                                <w:sz w:val="28"/>
                              </w:rPr>
                            </w:pPr>
                            <w:r>
                              <w:rPr>
                                <w:color w:val="auto"/>
                                <w:sz w:val="28"/>
                              </w:rPr>
                              <w:t>August</w:t>
                            </w:r>
                            <w:r w:rsidRPr="00625BC1">
                              <w:rPr>
                                <w:color w:val="auto"/>
                                <w:sz w:val="28"/>
                              </w:rPr>
                              <w:t xml:space="preserve"> 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left:0;text-align:left;margin-left:-89.95pt;margin-top:537.95pt;width:612pt;height:159.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" mv:complextextbox="1" fillcolor="white [3212]" stroked="f">
                <v:fill opacity="32125f"/>
                <v:textbox>
                  <w:txbxContent>
                    <w:p w14:paraId="48D3C902" w14:textId="68004F87" w:rsidR="00E62B62" w:rsidRPr="00527A52" w:rsidRDefault="00E62B62" w:rsidP="00E62B62">
                      <w:pPr>
                        <w:spacing w:after="240"/>
                        <w:jc w:val="center"/>
                        <w:rPr>
                          <w:b/>
                          <w:color w:val="1F497D" w:themeColor="text2"/>
                          <w:sz w:val="40"/>
                        </w:rPr>
                      </w:pPr>
                      <w:r w:rsidRPr="00527A52">
                        <w:rPr>
                          <w:b/>
                          <w:color w:val="1F497D" w:themeColor="text2"/>
                          <w:sz w:val="40"/>
                        </w:rPr>
                        <w:t xml:space="preserve">Green </w:t>
                      </w:r>
                      <w:r>
                        <w:rPr>
                          <w:b/>
                          <w:color w:val="1F497D" w:themeColor="text2"/>
                          <w:sz w:val="40"/>
                        </w:rPr>
                        <w:t>Power Design Approach and Feasibility Analysis</w:t>
                      </w:r>
                    </w:p>
                    <w:p w14:paraId="7FD31BAD" w14:textId="5CD2BD93" w:rsidR="00E62B62" w:rsidRPr="00625BC1" w:rsidRDefault="00E62B62" w:rsidP="00E62B62">
                      <w:pPr>
                        <w:spacing w:before="120"/>
                        <w:jc w:val="right"/>
                        <w:rPr>
                          <w:color w:val="auto"/>
                          <w:sz w:val="28"/>
                        </w:rPr>
                      </w:pPr>
                      <w:r w:rsidRPr="00625BC1">
                        <w:rPr>
                          <w:color w:val="auto"/>
                          <w:sz w:val="28"/>
                        </w:rPr>
                        <w:t xml:space="preserve">Green power for Mobile </w:t>
                      </w:r>
                      <w:r>
                        <w:rPr>
                          <w:color w:val="auto"/>
                          <w:sz w:val="28"/>
                        </w:rPr>
                        <w:t>Technical White Paper</w:t>
                      </w:r>
                    </w:p>
                    <w:p w14:paraId="60D9C6C3" w14:textId="20D35F6B" w:rsidR="00E62B62" w:rsidRPr="00625BC1" w:rsidRDefault="00E62B62" w:rsidP="00E62B62">
                      <w:pPr>
                        <w:spacing w:before="120"/>
                        <w:jc w:val="right"/>
                        <w:rPr>
                          <w:color w:val="auto"/>
                          <w:sz w:val="28"/>
                        </w:rPr>
                      </w:pPr>
                      <w:r>
                        <w:rPr>
                          <w:color w:val="auto"/>
                          <w:sz w:val="28"/>
                        </w:rPr>
                        <w:t>August</w:t>
                      </w:r>
                      <w:r w:rsidRPr="00625BC1">
                        <w:rPr>
                          <w:color w:val="auto"/>
                          <w:sz w:val="28"/>
                        </w:rPr>
                        <w:t xml:space="preserve"> 2014</w:t>
                      </w:r>
                    </w:p>
                  </w:txbxContent>
                </v:textbox>
                <w10:wrap type="square"/>
              </v:shape>
            </w:pict>
          </mc:Fallback>
        </mc:AlternateContent>
      </w:r>
      <w:r w:rsidR="007D3A90">
        <w:rPr>
          <w:rFonts w:eastAsiaTheme="minorEastAsia" w:cstheme="minorBidi"/>
          <w:b w:val="0"/>
          <w:bCs w:val="0"/>
          <w:noProof/>
          <w:color w:val="595959" w:themeColor="text1" w:themeTint="A6"/>
          <w:sz w:val="20"/>
          <w:szCs w:val="24"/>
        </w:rPr>
        <w:drawing>
          <wp:inline distT="0" distB="0" distL="0" distR="0" wp14:anchorId="57DE8754" wp14:editId="46F2B331">
            <wp:extent cx="7772398" cy="9429750"/>
            <wp:effectExtent l="0" t="0" r="635" b="0"/>
            <wp:docPr id="20" name="Picture 20" descr="C:\Users\satish.kumar\Dropbox\Madagascar - Site Visits\20121217_1230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tish.kumar\Dropbox\Madagascar - Site Visits\20121217_123043_2.jpg"/>
                    <pic:cNvPicPr>
                      <a:picLocks noChangeAspect="1" noChangeArrowheads="1"/>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7784313" cy="9444206"/>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Fonts w:eastAsiaTheme="minorEastAsia" w:cstheme="minorBidi"/>
          <w:b w:val="0"/>
          <w:bCs w:val="0"/>
          <w:color w:val="595959" w:themeColor="text1" w:themeTint="A6"/>
          <w:sz w:val="20"/>
          <w:szCs w:val="24"/>
        </w:rPr>
        <w:id w:val="670842839"/>
        <w:docPartObj>
          <w:docPartGallery w:val="Table of Contents"/>
          <w:docPartUnique/>
        </w:docPartObj>
      </w:sdtPr>
      <w:sdtEndPr>
        <w:rPr>
          <w:noProof/>
        </w:rPr>
      </w:sdtEndPr>
      <w:sdtContent>
        <w:p w14:paraId="5A5CC0F0" w14:textId="5FD02925" w:rsidR="00015203" w:rsidRDefault="00015203">
          <w:pPr>
            <w:pStyle w:val="TOCHeading"/>
          </w:pPr>
          <w:r>
            <w:t>Contents</w:t>
          </w:r>
          <w:bookmarkEnd w:id="0"/>
        </w:p>
        <w:p w14:paraId="3CA5BED2" w14:textId="77777777" w:rsidR="0075209D" w:rsidRDefault="00B97CB4">
          <w:pPr>
            <w:pStyle w:val="TOC1"/>
            <w:tabs>
              <w:tab w:val="right" w:leader="dot" w:pos="8630"/>
            </w:tabs>
            <w:rPr>
              <w:b w:val="0"/>
              <w:noProof/>
              <w:color w:val="auto"/>
              <w:lang w:val="en-GB" w:eastAsia="en-GB"/>
            </w:rPr>
          </w:pPr>
          <w:r>
            <w:fldChar w:fldCharType="begin"/>
          </w:r>
          <w:r>
            <w:instrText xml:space="preserve"> TOC \o "1-3" \h \z \u </w:instrText>
          </w:r>
          <w:r>
            <w:fldChar w:fldCharType="separate"/>
          </w:r>
          <w:hyperlink w:anchor="_Toc393749890" w:history="1">
            <w:r w:rsidR="0075209D" w:rsidRPr="00192093">
              <w:rPr>
                <w:rStyle w:val="Hyperlink"/>
                <w:noProof/>
              </w:rPr>
              <w:t>Introduction</w:t>
            </w:r>
            <w:r w:rsidR="0075209D">
              <w:rPr>
                <w:noProof/>
                <w:webHidden/>
              </w:rPr>
              <w:tab/>
            </w:r>
            <w:r w:rsidR="0075209D">
              <w:rPr>
                <w:noProof/>
                <w:webHidden/>
              </w:rPr>
              <w:fldChar w:fldCharType="begin"/>
            </w:r>
            <w:r w:rsidR="0075209D">
              <w:rPr>
                <w:noProof/>
                <w:webHidden/>
              </w:rPr>
              <w:instrText xml:space="preserve"> PAGEREF _Toc393749890 \h </w:instrText>
            </w:r>
            <w:r w:rsidR="0075209D">
              <w:rPr>
                <w:noProof/>
                <w:webHidden/>
              </w:rPr>
            </w:r>
            <w:r w:rsidR="0075209D">
              <w:rPr>
                <w:noProof/>
                <w:webHidden/>
              </w:rPr>
              <w:fldChar w:fldCharType="separate"/>
            </w:r>
            <w:r w:rsidR="0075209D">
              <w:rPr>
                <w:noProof/>
                <w:webHidden/>
              </w:rPr>
              <w:t>4</w:t>
            </w:r>
            <w:r w:rsidR="0075209D">
              <w:rPr>
                <w:noProof/>
                <w:webHidden/>
              </w:rPr>
              <w:fldChar w:fldCharType="end"/>
            </w:r>
          </w:hyperlink>
        </w:p>
        <w:p w14:paraId="3D9660AC" w14:textId="77777777" w:rsidR="0075209D" w:rsidRDefault="008B55D5">
          <w:pPr>
            <w:pStyle w:val="TOC2"/>
            <w:tabs>
              <w:tab w:val="right" w:leader="dot" w:pos="8630"/>
            </w:tabs>
            <w:rPr>
              <w:i w:val="0"/>
              <w:noProof/>
              <w:color w:val="auto"/>
              <w:lang w:val="en-GB" w:eastAsia="en-GB"/>
            </w:rPr>
          </w:pPr>
          <w:hyperlink w:anchor="_Toc393749891" w:history="1">
            <w:r w:rsidR="0075209D" w:rsidRPr="00192093">
              <w:rPr>
                <w:rStyle w:val="Hyperlink"/>
                <w:noProof/>
              </w:rPr>
              <w:t>Why consider green power for telecoms?</w:t>
            </w:r>
            <w:r w:rsidR="0075209D">
              <w:rPr>
                <w:noProof/>
                <w:webHidden/>
              </w:rPr>
              <w:tab/>
            </w:r>
            <w:r w:rsidR="0075209D">
              <w:rPr>
                <w:noProof/>
                <w:webHidden/>
              </w:rPr>
              <w:fldChar w:fldCharType="begin"/>
            </w:r>
            <w:r w:rsidR="0075209D">
              <w:rPr>
                <w:noProof/>
                <w:webHidden/>
              </w:rPr>
              <w:instrText xml:space="preserve"> PAGEREF _Toc393749891 \h </w:instrText>
            </w:r>
            <w:r w:rsidR="0075209D">
              <w:rPr>
                <w:noProof/>
                <w:webHidden/>
              </w:rPr>
            </w:r>
            <w:r w:rsidR="0075209D">
              <w:rPr>
                <w:noProof/>
                <w:webHidden/>
              </w:rPr>
              <w:fldChar w:fldCharType="separate"/>
            </w:r>
            <w:r w:rsidR="0075209D">
              <w:rPr>
                <w:noProof/>
                <w:webHidden/>
              </w:rPr>
              <w:t>4</w:t>
            </w:r>
            <w:r w:rsidR="0075209D">
              <w:rPr>
                <w:noProof/>
                <w:webHidden/>
              </w:rPr>
              <w:fldChar w:fldCharType="end"/>
            </w:r>
          </w:hyperlink>
        </w:p>
        <w:p w14:paraId="4D076CEB" w14:textId="77777777" w:rsidR="0075209D" w:rsidRDefault="008B55D5">
          <w:pPr>
            <w:pStyle w:val="TOC3"/>
            <w:tabs>
              <w:tab w:val="right" w:leader="dot" w:pos="8630"/>
            </w:tabs>
            <w:rPr>
              <w:noProof/>
              <w:color w:val="auto"/>
              <w:lang w:val="en-GB" w:eastAsia="en-GB"/>
            </w:rPr>
          </w:pPr>
          <w:hyperlink w:anchor="_Toc393749892" w:history="1">
            <w:r w:rsidR="0075209D" w:rsidRPr="00192093">
              <w:rPr>
                <w:rStyle w:val="Hyperlink"/>
                <w:noProof/>
              </w:rPr>
              <w:t>Limited Grid power infrastructure</w:t>
            </w:r>
            <w:r w:rsidR="0075209D">
              <w:rPr>
                <w:noProof/>
                <w:webHidden/>
              </w:rPr>
              <w:tab/>
            </w:r>
            <w:r w:rsidR="0075209D">
              <w:rPr>
                <w:noProof/>
                <w:webHidden/>
              </w:rPr>
              <w:fldChar w:fldCharType="begin"/>
            </w:r>
            <w:r w:rsidR="0075209D">
              <w:rPr>
                <w:noProof/>
                <w:webHidden/>
              </w:rPr>
              <w:instrText xml:space="preserve"> PAGEREF _Toc393749892 \h </w:instrText>
            </w:r>
            <w:r w:rsidR="0075209D">
              <w:rPr>
                <w:noProof/>
                <w:webHidden/>
              </w:rPr>
            </w:r>
            <w:r w:rsidR="0075209D">
              <w:rPr>
                <w:noProof/>
                <w:webHidden/>
              </w:rPr>
              <w:fldChar w:fldCharType="separate"/>
            </w:r>
            <w:r w:rsidR="0075209D">
              <w:rPr>
                <w:noProof/>
                <w:webHidden/>
              </w:rPr>
              <w:t>4</w:t>
            </w:r>
            <w:r w:rsidR="0075209D">
              <w:rPr>
                <w:noProof/>
                <w:webHidden/>
              </w:rPr>
              <w:fldChar w:fldCharType="end"/>
            </w:r>
          </w:hyperlink>
        </w:p>
        <w:p w14:paraId="30EA4352" w14:textId="77777777" w:rsidR="0075209D" w:rsidRDefault="008B55D5">
          <w:pPr>
            <w:pStyle w:val="TOC3"/>
            <w:tabs>
              <w:tab w:val="right" w:leader="dot" w:pos="8630"/>
            </w:tabs>
            <w:rPr>
              <w:noProof/>
              <w:color w:val="auto"/>
              <w:lang w:val="en-GB" w:eastAsia="en-GB"/>
            </w:rPr>
          </w:pPr>
          <w:hyperlink w:anchor="_Toc393749893" w:history="1">
            <w:r w:rsidR="0075209D" w:rsidRPr="00192093">
              <w:rPr>
                <w:rStyle w:val="Hyperlink"/>
                <w:noProof/>
              </w:rPr>
              <w:t>Unreliability of Grid power</w:t>
            </w:r>
            <w:r w:rsidR="0075209D">
              <w:rPr>
                <w:noProof/>
                <w:webHidden/>
              </w:rPr>
              <w:tab/>
            </w:r>
            <w:r w:rsidR="0075209D">
              <w:rPr>
                <w:noProof/>
                <w:webHidden/>
              </w:rPr>
              <w:fldChar w:fldCharType="begin"/>
            </w:r>
            <w:r w:rsidR="0075209D">
              <w:rPr>
                <w:noProof/>
                <w:webHidden/>
              </w:rPr>
              <w:instrText xml:space="preserve"> PAGEREF _Toc393749893 \h </w:instrText>
            </w:r>
            <w:r w:rsidR="0075209D">
              <w:rPr>
                <w:noProof/>
                <w:webHidden/>
              </w:rPr>
            </w:r>
            <w:r w:rsidR="0075209D">
              <w:rPr>
                <w:noProof/>
                <w:webHidden/>
              </w:rPr>
              <w:fldChar w:fldCharType="separate"/>
            </w:r>
            <w:r w:rsidR="0075209D">
              <w:rPr>
                <w:noProof/>
                <w:webHidden/>
              </w:rPr>
              <w:t>4</w:t>
            </w:r>
            <w:r w:rsidR="0075209D">
              <w:rPr>
                <w:noProof/>
                <w:webHidden/>
              </w:rPr>
              <w:fldChar w:fldCharType="end"/>
            </w:r>
          </w:hyperlink>
        </w:p>
        <w:p w14:paraId="2625735D" w14:textId="77777777" w:rsidR="0075209D" w:rsidRDefault="008B55D5">
          <w:pPr>
            <w:pStyle w:val="TOC3"/>
            <w:tabs>
              <w:tab w:val="right" w:leader="dot" w:pos="8630"/>
            </w:tabs>
            <w:rPr>
              <w:noProof/>
              <w:color w:val="auto"/>
              <w:lang w:val="en-GB" w:eastAsia="en-GB"/>
            </w:rPr>
          </w:pPr>
          <w:hyperlink w:anchor="_Toc393749894" w:history="1">
            <w:r w:rsidR="0075209D" w:rsidRPr="00192093">
              <w:rPr>
                <w:rStyle w:val="Hyperlink"/>
                <w:noProof/>
              </w:rPr>
              <w:t>Diesel is expensive and dirty</w:t>
            </w:r>
            <w:r w:rsidR="0075209D">
              <w:rPr>
                <w:noProof/>
                <w:webHidden/>
              </w:rPr>
              <w:tab/>
            </w:r>
            <w:r w:rsidR="0075209D">
              <w:rPr>
                <w:noProof/>
                <w:webHidden/>
              </w:rPr>
              <w:fldChar w:fldCharType="begin"/>
            </w:r>
            <w:r w:rsidR="0075209D">
              <w:rPr>
                <w:noProof/>
                <w:webHidden/>
              </w:rPr>
              <w:instrText xml:space="preserve"> PAGEREF _Toc393749894 \h </w:instrText>
            </w:r>
            <w:r w:rsidR="0075209D">
              <w:rPr>
                <w:noProof/>
                <w:webHidden/>
              </w:rPr>
            </w:r>
            <w:r w:rsidR="0075209D">
              <w:rPr>
                <w:noProof/>
                <w:webHidden/>
              </w:rPr>
              <w:fldChar w:fldCharType="separate"/>
            </w:r>
            <w:r w:rsidR="0075209D">
              <w:rPr>
                <w:noProof/>
                <w:webHidden/>
              </w:rPr>
              <w:t>4</w:t>
            </w:r>
            <w:r w:rsidR="0075209D">
              <w:rPr>
                <w:noProof/>
                <w:webHidden/>
              </w:rPr>
              <w:fldChar w:fldCharType="end"/>
            </w:r>
          </w:hyperlink>
        </w:p>
        <w:p w14:paraId="05C770B5" w14:textId="77777777" w:rsidR="0075209D" w:rsidRDefault="008B55D5">
          <w:pPr>
            <w:pStyle w:val="TOC2"/>
            <w:tabs>
              <w:tab w:val="right" w:leader="dot" w:pos="8630"/>
            </w:tabs>
            <w:rPr>
              <w:i w:val="0"/>
              <w:noProof/>
              <w:color w:val="auto"/>
              <w:lang w:val="en-GB" w:eastAsia="en-GB"/>
            </w:rPr>
          </w:pPr>
          <w:hyperlink w:anchor="_Toc393749895" w:history="1">
            <w:r w:rsidR="0075209D" w:rsidRPr="00192093">
              <w:rPr>
                <w:rStyle w:val="Hyperlink"/>
                <w:noProof/>
              </w:rPr>
              <w:t>What is green power?</w:t>
            </w:r>
            <w:r w:rsidR="0075209D">
              <w:rPr>
                <w:noProof/>
                <w:webHidden/>
              </w:rPr>
              <w:tab/>
            </w:r>
            <w:r w:rsidR="0075209D">
              <w:rPr>
                <w:noProof/>
                <w:webHidden/>
              </w:rPr>
              <w:fldChar w:fldCharType="begin"/>
            </w:r>
            <w:r w:rsidR="0075209D">
              <w:rPr>
                <w:noProof/>
                <w:webHidden/>
              </w:rPr>
              <w:instrText xml:space="preserve"> PAGEREF _Toc393749895 \h </w:instrText>
            </w:r>
            <w:r w:rsidR="0075209D">
              <w:rPr>
                <w:noProof/>
                <w:webHidden/>
              </w:rPr>
            </w:r>
            <w:r w:rsidR="0075209D">
              <w:rPr>
                <w:noProof/>
                <w:webHidden/>
              </w:rPr>
              <w:fldChar w:fldCharType="separate"/>
            </w:r>
            <w:r w:rsidR="0075209D">
              <w:rPr>
                <w:noProof/>
                <w:webHidden/>
              </w:rPr>
              <w:t>6</w:t>
            </w:r>
            <w:r w:rsidR="0075209D">
              <w:rPr>
                <w:noProof/>
                <w:webHidden/>
              </w:rPr>
              <w:fldChar w:fldCharType="end"/>
            </w:r>
          </w:hyperlink>
        </w:p>
        <w:p w14:paraId="4F3B92E4" w14:textId="77777777" w:rsidR="0075209D" w:rsidRDefault="008B55D5">
          <w:pPr>
            <w:pStyle w:val="TOC2"/>
            <w:tabs>
              <w:tab w:val="right" w:leader="dot" w:pos="8630"/>
            </w:tabs>
            <w:rPr>
              <w:i w:val="0"/>
              <w:noProof/>
              <w:color w:val="auto"/>
              <w:lang w:val="en-GB" w:eastAsia="en-GB"/>
            </w:rPr>
          </w:pPr>
          <w:hyperlink w:anchor="_Toc393749896" w:history="1">
            <w:r w:rsidR="0075209D" w:rsidRPr="00192093">
              <w:rPr>
                <w:rStyle w:val="Hyperlink"/>
                <w:noProof/>
              </w:rPr>
              <w:t>How to go about green power?</w:t>
            </w:r>
            <w:r w:rsidR="0075209D">
              <w:rPr>
                <w:noProof/>
                <w:webHidden/>
              </w:rPr>
              <w:tab/>
            </w:r>
            <w:r w:rsidR="0075209D">
              <w:rPr>
                <w:noProof/>
                <w:webHidden/>
              </w:rPr>
              <w:fldChar w:fldCharType="begin"/>
            </w:r>
            <w:r w:rsidR="0075209D">
              <w:rPr>
                <w:noProof/>
                <w:webHidden/>
              </w:rPr>
              <w:instrText xml:space="preserve"> PAGEREF _Toc393749896 \h </w:instrText>
            </w:r>
            <w:r w:rsidR="0075209D">
              <w:rPr>
                <w:noProof/>
                <w:webHidden/>
              </w:rPr>
            </w:r>
            <w:r w:rsidR="0075209D">
              <w:rPr>
                <w:noProof/>
                <w:webHidden/>
              </w:rPr>
              <w:fldChar w:fldCharType="separate"/>
            </w:r>
            <w:r w:rsidR="0075209D">
              <w:rPr>
                <w:noProof/>
                <w:webHidden/>
              </w:rPr>
              <w:t>7</w:t>
            </w:r>
            <w:r w:rsidR="0075209D">
              <w:rPr>
                <w:noProof/>
                <w:webHidden/>
              </w:rPr>
              <w:fldChar w:fldCharType="end"/>
            </w:r>
          </w:hyperlink>
        </w:p>
        <w:p w14:paraId="3B7F0514" w14:textId="77777777" w:rsidR="0075209D" w:rsidRDefault="008B55D5">
          <w:pPr>
            <w:pStyle w:val="TOC3"/>
            <w:tabs>
              <w:tab w:val="right" w:leader="dot" w:pos="8630"/>
            </w:tabs>
            <w:rPr>
              <w:noProof/>
              <w:color w:val="auto"/>
              <w:lang w:val="en-GB" w:eastAsia="en-GB"/>
            </w:rPr>
          </w:pPr>
          <w:hyperlink w:anchor="_Toc393749897" w:history="1">
            <w:r w:rsidR="0075209D" w:rsidRPr="00192093">
              <w:rPr>
                <w:rStyle w:val="Hyperlink"/>
                <w:noProof/>
              </w:rPr>
              <w:t>Strategy – Invest or Outsource?</w:t>
            </w:r>
            <w:r w:rsidR="0075209D">
              <w:rPr>
                <w:noProof/>
                <w:webHidden/>
              </w:rPr>
              <w:tab/>
            </w:r>
            <w:r w:rsidR="0075209D">
              <w:rPr>
                <w:noProof/>
                <w:webHidden/>
              </w:rPr>
              <w:fldChar w:fldCharType="begin"/>
            </w:r>
            <w:r w:rsidR="0075209D">
              <w:rPr>
                <w:noProof/>
                <w:webHidden/>
              </w:rPr>
              <w:instrText xml:space="preserve"> PAGEREF _Toc393749897 \h </w:instrText>
            </w:r>
            <w:r w:rsidR="0075209D">
              <w:rPr>
                <w:noProof/>
                <w:webHidden/>
              </w:rPr>
            </w:r>
            <w:r w:rsidR="0075209D">
              <w:rPr>
                <w:noProof/>
                <w:webHidden/>
              </w:rPr>
              <w:fldChar w:fldCharType="separate"/>
            </w:r>
            <w:r w:rsidR="0075209D">
              <w:rPr>
                <w:noProof/>
                <w:webHidden/>
              </w:rPr>
              <w:t>7</w:t>
            </w:r>
            <w:r w:rsidR="0075209D">
              <w:rPr>
                <w:noProof/>
                <w:webHidden/>
              </w:rPr>
              <w:fldChar w:fldCharType="end"/>
            </w:r>
          </w:hyperlink>
        </w:p>
        <w:p w14:paraId="12F2985A" w14:textId="77777777" w:rsidR="0075209D" w:rsidRDefault="008B55D5">
          <w:pPr>
            <w:pStyle w:val="TOC1"/>
            <w:tabs>
              <w:tab w:val="right" w:leader="dot" w:pos="8630"/>
            </w:tabs>
            <w:rPr>
              <w:b w:val="0"/>
              <w:noProof/>
              <w:color w:val="auto"/>
              <w:lang w:val="en-GB" w:eastAsia="en-GB"/>
            </w:rPr>
          </w:pPr>
          <w:hyperlink w:anchor="_Toc393749898" w:history="1">
            <w:r w:rsidR="0075209D" w:rsidRPr="00192093">
              <w:rPr>
                <w:rStyle w:val="Hyperlink"/>
                <w:noProof/>
              </w:rPr>
              <w:t>Green Power Feasibility – Approach and Scenarios</w:t>
            </w:r>
            <w:r w:rsidR="0075209D">
              <w:rPr>
                <w:noProof/>
                <w:webHidden/>
              </w:rPr>
              <w:tab/>
            </w:r>
            <w:r w:rsidR="0075209D">
              <w:rPr>
                <w:noProof/>
                <w:webHidden/>
              </w:rPr>
              <w:fldChar w:fldCharType="begin"/>
            </w:r>
            <w:r w:rsidR="0075209D">
              <w:rPr>
                <w:noProof/>
                <w:webHidden/>
              </w:rPr>
              <w:instrText xml:space="preserve"> PAGEREF _Toc393749898 \h </w:instrText>
            </w:r>
            <w:r w:rsidR="0075209D">
              <w:rPr>
                <w:noProof/>
                <w:webHidden/>
              </w:rPr>
            </w:r>
            <w:r w:rsidR="0075209D">
              <w:rPr>
                <w:noProof/>
                <w:webHidden/>
              </w:rPr>
              <w:fldChar w:fldCharType="separate"/>
            </w:r>
            <w:r w:rsidR="0075209D">
              <w:rPr>
                <w:noProof/>
                <w:webHidden/>
              </w:rPr>
              <w:t>9</w:t>
            </w:r>
            <w:r w:rsidR="0075209D">
              <w:rPr>
                <w:noProof/>
                <w:webHidden/>
              </w:rPr>
              <w:fldChar w:fldCharType="end"/>
            </w:r>
          </w:hyperlink>
        </w:p>
        <w:p w14:paraId="7FCB5E21" w14:textId="77777777" w:rsidR="0075209D" w:rsidRDefault="008B55D5">
          <w:pPr>
            <w:pStyle w:val="TOC2"/>
            <w:tabs>
              <w:tab w:val="right" w:leader="dot" w:pos="8630"/>
            </w:tabs>
            <w:rPr>
              <w:i w:val="0"/>
              <w:noProof/>
              <w:color w:val="auto"/>
              <w:lang w:val="en-GB" w:eastAsia="en-GB"/>
            </w:rPr>
          </w:pPr>
          <w:hyperlink w:anchor="_Toc393749899" w:history="1">
            <w:r w:rsidR="0075209D" w:rsidRPr="00192093">
              <w:rPr>
                <w:rStyle w:val="Hyperlink"/>
                <w:noProof/>
              </w:rPr>
              <w:t>Case 1 (MNO): Feasibility of Green power for Single-tenant scenario</w:t>
            </w:r>
            <w:r w:rsidR="0075209D">
              <w:rPr>
                <w:noProof/>
                <w:webHidden/>
              </w:rPr>
              <w:tab/>
            </w:r>
            <w:r w:rsidR="0075209D">
              <w:rPr>
                <w:noProof/>
                <w:webHidden/>
              </w:rPr>
              <w:fldChar w:fldCharType="begin"/>
            </w:r>
            <w:r w:rsidR="0075209D">
              <w:rPr>
                <w:noProof/>
                <w:webHidden/>
              </w:rPr>
              <w:instrText xml:space="preserve"> PAGEREF _Toc393749899 \h </w:instrText>
            </w:r>
            <w:r w:rsidR="0075209D">
              <w:rPr>
                <w:noProof/>
                <w:webHidden/>
              </w:rPr>
            </w:r>
            <w:r w:rsidR="0075209D">
              <w:rPr>
                <w:noProof/>
                <w:webHidden/>
              </w:rPr>
              <w:fldChar w:fldCharType="separate"/>
            </w:r>
            <w:r w:rsidR="0075209D">
              <w:rPr>
                <w:noProof/>
                <w:webHidden/>
              </w:rPr>
              <w:t>11</w:t>
            </w:r>
            <w:r w:rsidR="0075209D">
              <w:rPr>
                <w:noProof/>
                <w:webHidden/>
              </w:rPr>
              <w:fldChar w:fldCharType="end"/>
            </w:r>
          </w:hyperlink>
        </w:p>
        <w:p w14:paraId="37E702FD" w14:textId="77777777" w:rsidR="0075209D" w:rsidRDefault="008B55D5">
          <w:pPr>
            <w:pStyle w:val="TOC3"/>
            <w:tabs>
              <w:tab w:val="right" w:leader="dot" w:pos="8630"/>
            </w:tabs>
            <w:rPr>
              <w:noProof/>
              <w:color w:val="auto"/>
              <w:lang w:val="en-GB" w:eastAsia="en-GB"/>
            </w:rPr>
          </w:pPr>
          <w:hyperlink w:anchor="_Toc393749900" w:history="1">
            <w:r w:rsidR="0075209D" w:rsidRPr="00192093">
              <w:rPr>
                <w:rStyle w:val="Hyperlink"/>
                <w:noProof/>
              </w:rPr>
              <w:t>Scenario I: Green Energy Contribution</w:t>
            </w:r>
            <w:r w:rsidR="0075209D">
              <w:rPr>
                <w:noProof/>
                <w:webHidden/>
              </w:rPr>
              <w:tab/>
            </w:r>
            <w:r w:rsidR="0075209D">
              <w:rPr>
                <w:noProof/>
                <w:webHidden/>
              </w:rPr>
              <w:fldChar w:fldCharType="begin"/>
            </w:r>
            <w:r w:rsidR="0075209D">
              <w:rPr>
                <w:noProof/>
                <w:webHidden/>
              </w:rPr>
              <w:instrText xml:space="preserve"> PAGEREF _Toc393749900 \h </w:instrText>
            </w:r>
            <w:r w:rsidR="0075209D">
              <w:rPr>
                <w:noProof/>
                <w:webHidden/>
              </w:rPr>
            </w:r>
            <w:r w:rsidR="0075209D">
              <w:rPr>
                <w:noProof/>
                <w:webHidden/>
              </w:rPr>
              <w:fldChar w:fldCharType="separate"/>
            </w:r>
            <w:r w:rsidR="0075209D">
              <w:rPr>
                <w:noProof/>
                <w:webHidden/>
              </w:rPr>
              <w:t>11</w:t>
            </w:r>
            <w:r w:rsidR="0075209D">
              <w:rPr>
                <w:noProof/>
                <w:webHidden/>
              </w:rPr>
              <w:fldChar w:fldCharType="end"/>
            </w:r>
          </w:hyperlink>
        </w:p>
        <w:p w14:paraId="346A6613" w14:textId="77777777" w:rsidR="0075209D" w:rsidRDefault="008B55D5">
          <w:pPr>
            <w:pStyle w:val="TOC3"/>
            <w:tabs>
              <w:tab w:val="right" w:leader="dot" w:pos="8630"/>
            </w:tabs>
            <w:rPr>
              <w:noProof/>
              <w:color w:val="auto"/>
              <w:lang w:val="en-GB" w:eastAsia="en-GB"/>
            </w:rPr>
          </w:pPr>
          <w:hyperlink w:anchor="_Toc393749901" w:history="1">
            <w:r w:rsidR="0075209D" w:rsidRPr="00192093">
              <w:rPr>
                <w:rStyle w:val="Hyperlink"/>
                <w:noProof/>
              </w:rPr>
              <w:t>Scenario II: Site Load</w:t>
            </w:r>
            <w:r w:rsidR="0075209D">
              <w:rPr>
                <w:noProof/>
                <w:webHidden/>
              </w:rPr>
              <w:tab/>
            </w:r>
            <w:r w:rsidR="0075209D">
              <w:rPr>
                <w:noProof/>
                <w:webHidden/>
              </w:rPr>
              <w:fldChar w:fldCharType="begin"/>
            </w:r>
            <w:r w:rsidR="0075209D">
              <w:rPr>
                <w:noProof/>
                <w:webHidden/>
              </w:rPr>
              <w:instrText xml:space="preserve"> PAGEREF _Toc393749901 \h </w:instrText>
            </w:r>
            <w:r w:rsidR="0075209D">
              <w:rPr>
                <w:noProof/>
                <w:webHidden/>
              </w:rPr>
            </w:r>
            <w:r w:rsidR="0075209D">
              <w:rPr>
                <w:noProof/>
                <w:webHidden/>
              </w:rPr>
              <w:fldChar w:fldCharType="separate"/>
            </w:r>
            <w:r w:rsidR="0075209D">
              <w:rPr>
                <w:noProof/>
                <w:webHidden/>
              </w:rPr>
              <w:t>13</w:t>
            </w:r>
            <w:r w:rsidR="0075209D">
              <w:rPr>
                <w:noProof/>
                <w:webHidden/>
              </w:rPr>
              <w:fldChar w:fldCharType="end"/>
            </w:r>
          </w:hyperlink>
        </w:p>
        <w:p w14:paraId="70DAA949" w14:textId="77777777" w:rsidR="0075209D" w:rsidRDefault="008B55D5">
          <w:pPr>
            <w:pStyle w:val="TOC3"/>
            <w:tabs>
              <w:tab w:val="right" w:leader="dot" w:pos="8630"/>
            </w:tabs>
            <w:rPr>
              <w:noProof/>
              <w:color w:val="auto"/>
              <w:lang w:val="en-GB" w:eastAsia="en-GB"/>
            </w:rPr>
          </w:pPr>
          <w:hyperlink w:anchor="_Toc393749902" w:history="1">
            <w:r w:rsidR="0075209D" w:rsidRPr="00192093">
              <w:rPr>
                <w:rStyle w:val="Hyperlink"/>
                <w:noProof/>
              </w:rPr>
              <w:t>Scenario III: Green Resources</w:t>
            </w:r>
            <w:r w:rsidR="0075209D">
              <w:rPr>
                <w:noProof/>
                <w:webHidden/>
              </w:rPr>
              <w:tab/>
            </w:r>
            <w:r w:rsidR="0075209D">
              <w:rPr>
                <w:noProof/>
                <w:webHidden/>
              </w:rPr>
              <w:fldChar w:fldCharType="begin"/>
            </w:r>
            <w:r w:rsidR="0075209D">
              <w:rPr>
                <w:noProof/>
                <w:webHidden/>
              </w:rPr>
              <w:instrText xml:space="preserve"> PAGEREF _Toc393749902 \h </w:instrText>
            </w:r>
            <w:r w:rsidR="0075209D">
              <w:rPr>
                <w:noProof/>
                <w:webHidden/>
              </w:rPr>
            </w:r>
            <w:r w:rsidR="0075209D">
              <w:rPr>
                <w:noProof/>
                <w:webHidden/>
              </w:rPr>
              <w:fldChar w:fldCharType="separate"/>
            </w:r>
            <w:r w:rsidR="0075209D">
              <w:rPr>
                <w:noProof/>
                <w:webHidden/>
              </w:rPr>
              <w:t>15</w:t>
            </w:r>
            <w:r w:rsidR="0075209D">
              <w:rPr>
                <w:noProof/>
                <w:webHidden/>
              </w:rPr>
              <w:fldChar w:fldCharType="end"/>
            </w:r>
          </w:hyperlink>
        </w:p>
        <w:p w14:paraId="0F9D532D" w14:textId="77777777" w:rsidR="0075209D" w:rsidRDefault="008B55D5">
          <w:pPr>
            <w:pStyle w:val="TOC2"/>
            <w:tabs>
              <w:tab w:val="right" w:leader="dot" w:pos="8630"/>
            </w:tabs>
            <w:rPr>
              <w:i w:val="0"/>
              <w:noProof/>
              <w:color w:val="auto"/>
              <w:lang w:val="en-GB" w:eastAsia="en-GB"/>
            </w:rPr>
          </w:pPr>
          <w:hyperlink w:anchor="_Toc393749903" w:history="1">
            <w:r w:rsidR="0075209D" w:rsidRPr="00192093">
              <w:rPr>
                <w:rStyle w:val="Hyperlink"/>
                <w:noProof/>
              </w:rPr>
              <w:t>Case 2 (Tower Co): Feasibility of Green power for Multi-tenant scenario</w:t>
            </w:r>
            <w:r w:rsidR="0075209D">
              <w:rPr>
                <w:noProof/>
                <w:webHidden/>
              </w:rPr>
              <w:tab/>
            </w:r>
            <w:r w:rsidR="0075209D">
              <w:rPr>
                <w:noProof/>
                <w:webHidden/>
              </w:rPr>
              <w:fldChar w:fldCharType="begin"/>
            </w:r>
            <w:r w:rsidR="0075209D">
              <w:rPr>
                <w:noProof/>
                <w:webHidden/>
              </w:rPr>
              <w:instrText xml:space="preserve"> PAGEREF _Toc393749903 \h </w:instrText>
            </w:r>
            <w:r w:rsidR="0075209D">
              <w:rPr>
                <w:noProof/>
                <w:webHidden/>
              </w:rPr>
            </w:r>
            <w:r w:rsidR="0075209D">
              <w:rPr>
                <w:noProof/>
                <w:webHidden/>
              </w:rPr>
              <w:fldChar w:fldCharType="separate"/>
            </w:r>
            <w:r w:rsidR="0075209D">
              <w:rPr>
                <w:noProof/>
                <w:webHidden/>
              </w:rPr>
              <w:t>16</w:t>
            </w:r>
            <w:r w:rsidR="0075209D">
              <w:rPr>
                <w:noProof/>
                <w:webHidden/>
              </w:rPr>
              <w:fldChar w:fldCharType="end"/>
            </w:r>
          </w:hyperlink>
        </w:p>
        <w:p w14:paraId="218CB05A" w14:textId="77777777" w:rsidR="0075209D" w:rsidRDefault="008B55D5">
          <w:pPr>
            <w:pStyle w:val="TOC3"/>
            <w:tabs>
              <w:tab w:val="right" w:leader="dot" w:pos="8630"/>
            </w:tabs>
            <w:rPr>
              <w:noProof/>
              <w:color w:val="auto"/>
              <w:lang w:val="en-GB" w:eastAsia="en-GB"/>
            </w:rPr>
          </w:pPr>
          <w:hyperlink w:anchor="_Toc393749904" w:history="1">
            <w:r w:rsidR="0075209D" w:rsidRPr="00192093">
              <w:rPr>
                <w:rStyle w:val="Hyperlink"/>
                <w:noProof/>
              </w:rPr>
              <w:t>Scenario I: Green Energy Contribution</w:t>
            </w:r>
            <w:r w:rsidR="0075209D">
              <w:rPr>
                <w:noProof/>
                <w:webHidden/>
              </w:rPr>
              <w:tab/>
            </w:r>
            <w:r w:rsidR="0075209D">
              <w:rPr>
                <w:noProof/>
                <w:webHidden/>
              </w:rPr>
              <w:fldChar w:fldCharType="begin"/>
            </w:r>
            <w:r w:rsidR="0075209D">
              <w:rPr>
                <w:noProof/>
                <w:webHidden/>
              </w:rPr>
              <w:instrText xml:space="preserve"> PAGEREF _Toc393749904 \h </w:instrText>
            </w:r>
            <w:r w:rsidR="0075209D">
              <w:rPr>
                <w:noProof/>
                <w:webHidden/>
              </w:rPr>
            </w:r>
            <w:r w:rsidR="0075209D">
              <w:rPr>
                <w:noProof/>
                <w:webHidden/>
              </w:rPr>
              <w:fldChar w:fldCharType="separate"/>
            </w:r>
            <w:r w:rsidR="0075209D">
              <w:rPr>
                <w:noProof/>
                <w:webHidden/>
              </w:rPr>
              <w:t>16</w:t>
            </w:r>
            <w:r w:rsidR="0075209D">
              <w:rPr>
                <w:noProof/>
                <w:webHidden/>
              </w:rPr>
              <w:fldChar w:fldCharType="end"/>
            </w:r>
          </w:hyperlink>
        </w:p>
        <w:p w14:paraId="2D563FB8" w14:textId="77777777" w:rsidR="0075209D" w:rsidRDefault="008B55D5">
          <w:pPr>
            <w:pStyle w:val="TOC3"/>
            <w:tabs>
              <w:tab w:val="right" w:leader="dot" w:pos="8630"/>
            </w:tabs>
            <w:rPr>
              <w:noProof/>
              <w:color w:val="auto"/>
              <w:lang w:val="en-GB" w:eastAsia="en-GB"/>
            </w:rPr>
          </w:pPr>
          <w:hyperlink w:anchor="_Toc393749905" w:history="1">
            <w:r w:rsidR="0075209D" w:rsidRPr="00192093">
              <w:rPr>
                <w:rStyle w:val="Hyperlink"/>
                <w:noProof/>
              </w:rPr>
              <w:t>Scenario II: Tenancy</w:t>
            </w:r>
            <w:r w:rsidR="0075209D">
              <w:rPr>
                <w:noProof/>
                <w:webHidden/>
              </w:rPr>
              <w:tab/>
            </w:r>
            <w:r w:rsidR="0075209D">
              <w:rPr>
                <w:noProof/>
                <w:webHidden/>
              </w:rPr>
              <w:fldChar w:fldCharType="begin"/>
            </w:r>
            <w:r w:rsidR="0075209D">
              <w:rPr>
                <w:noProof/>
                <w:webHidden/>
              </w:rPr>
              <w:instrText xml:space="preserve"> PAGEREF _Toc393749905 \h </w:instrText>
            </w:r>
            <w:r w:rsidR="0075209D">
              <w:rPr>
                <w:noProof/>
                <w:webHidden/>
              </w:rPr>
            </w:r>
            <w:r w:rsidR="0075209D">
              <w:rPr>
                <w:noProof/>
                <w:webHidden/>
              </w:rPr>
              <w:fldChar w:fldCharType="separate"/>
            </w:r>
            <w:r w:rsidR="0075209D">
              <w:rPr>
                <w:noProof/>
                <w:webHidden/>
              </w:rPr>
              <w:t>18</w:t>
            </w:r>
            <w:r w:rsidR="0075209D">
              <w:rPr>
                <w:noProof/>
                <w:webHidden/>
              </w:rPr>
              <w:fldChar w:fldCharType="end"/>
            </w:r>
          </w:hyperlink>
        </w:p>
        <w:p w14:paraId="60D73335" w14:textId="77777777" w:rsidR="0075209D" w:rsidRDefault="008B55D5">
          <w:pPr>
            <w:pStyle w:val="TOC2"/>
            <w:tabs>
              <w:tab w:val="right" w:leader="dot" w:pos="8630"/>
            </w:tabs>
            <w:rPr>
              <w:i w:val="0"/>
              <w:noProof/>
              <w:color w:val="auto"/>
              <w:lang w:val="en-GB" w:eastAsia="en-GB"/>
            </w:rPr>
          </w:pPr>
          <w:hyperlink w:anchor="_Toc393749906" w:history="1">
            <w:r w:rsidR="0075209D" w:rsidRPr="00192093">
              <w:rPr>
                <w:rStyle w:val="Hyperlink"/>
                <w:noProof/>
              </w:rPr>
              <w:t>Summary and Conclusions</w:t>
            </w:r>
            <w:r w:rsidR="0075209D">
              <w:rPr>
                <w:noProof/>
                <w:webHidden/>
              </w:rPr>
              <w:tab/>
            </w:r>
            <w:r w:rsidR="0075209D">
              <w:rPr>
                <w:noProof/>
                <w:webHidden/>
              </w:rPr>
              <w:fldChar w:fldCharType="begin"/>
            </w:r>
            <w:r w:rsidR="0075209D">
              <w:rPr>
                <w:noProof/>
                <w:webHidden/>
              </w:rPr>
              <w:instrText xml:space="preserve"> PAGEREF _Toc393749906 \h </w:instrText>
            </w:r>
            <w:r w:rsidR="0075209D">
              <w:rPr>
                <w:noProof/>
                <w:webHidden/>
              </w:rPr>
            </w:r>
            <w:r w:rsidR="0075209D">
              <w:rPr>
                <w:noProof/>
                <w:webHidden/>
              </w:rPr>
              <w:fldChar w:fldCharType="separate"/>
            </w:r>
            <w:r w:rsidR="0075209D">
              <w:rPr>
                <w:noProof/>
                <w:webHidden/>
              </w:rPr>
              <w:t>20</w:t>
            </w:r>
            <w:r w:rsidR="0075209D">
              <w:rPr>
                <w:noProof/>
                <w:webHidden/>
              </w:rPr>
              <w:fldChar w:fldCharType="end"/>
            </w:r>
          </w:hyperlink>
        </w:p>
        <w:p w14:paraId="3AD46F64" w14:textId="77777777" w:rsidR="0075209D" w:rsidRDefault="008B55D5">
          <w:pPr>
            <w:pStyle w:val="TOC1"/>
            <w:tabs>
              <w:tab w:val="right" w:leader="dot" w:pos="8630"/>
            </w:tabs>
            <w:rPr>
              <w:b w:val="0"/>
              <w:noProof/>
              <w:color w:val="auto"/>
              <w:lang w:val="en-GB" w:eastAsia="en-GB"/>
            </w:rPr>
          </w:pPr>
          <w:hyperlink w:anchor="_Toc393749907" w:history="1">
            <w:r w:rsidR="0075209D" w:rsidRPr="00192093">
              <w:rPr>
                <w:rStyle w:val="Hyperlink"/>
                <w:noProof/>
              </w:rPr>
              <w:t>Green Power Feasibility – Technology specific factors</w:t>
            </w:r>
            <w:r w:rsidR="0075209D">
              <w:rPr>
                <w:noProof/>
                <w:webHidden/>
              </w:rPr>
              <w:tab/>
            </w:r>
            <w:r w:rsidR="0075209D">
              <w:rPr>
                <w:noProof/>
                <w:webHidden/>
              </w:rPr>
              <w:fldChar w:fldCharType="begin"/>
            </w:r>
            <w:r w:rsidR="0075209D">
              <w:rPr>
                <w:noProof/>
                <w:webHidden/>
              </w:rPr>
              <w:instrText xml:space="preserve"> PAGEREF _Toc393749907 \h </w:instrText>
            </w:r>
            <w:r w:rsidR="0075209D">
              <w:rPr>
                <w:noProof/>
                <w:webHidden/>
              </w:rPr>
            </w:r>
            <w:r w:rsidR="0075209D">
              <w:rPr>
                <w:noProof/>
                <w:webHidden/>
              </w:rPr>
              <w:fldChar w:fldCharType="separate"/>
            </w:r>
            <w:r w:rsidR="0075209D">
              <w:rPr>
                <w:noProof/>
                <w:webHidden/>
              </w:rPr>
              <w:t>21</w:t>
            </w:r>
            <w:r w:rsidR="0075209D">
              <w:rPr>
                <w:noProof/>
                <w:webHidden/>
              </w:rPr>
              <w:fldChar w:fldCharType="end"/>
            </w:r>
          </w:hyperlink>
        </w:p>
        <w:p w14:paraId="02C221D4" w14:textId="77777777" w:rsidR="0075209D" w:rsidRDefault="008B55D5">
          <w:pPr>
            <w:pStyle w:val="TOC2"/>
            <w:tabs>
              <w:tab w:val="right" w:leader="dot" w:pos="8630"/>
            </w:tabs>
            <w:rPr>
              <w:i w:val="0"/>
              <w:noProof/>
              <w:color w:val="auto"/>
              <w:lang w:val="en-GB" w:eastAsia="en-GB"/>
            </w:rPr>
          </w:pPr>
          <w:hyperlink w:anchor="_Toc393749908" w:history="1">
            <w:r w:rsidR="0075209D" w:rsidRPr="00192093">
              <w:rPr>
                <w:rStyle w:val="Hyperlink"/>
                <w:noProof/>
              </w:rPr>
              <w:t>Energy efficiency and the importance of optimum system design</w:t>
            </w:r>
            <w:r w:rsidR="0075209D">
              <w:rPr>
                <w:noProof/>
                <w:webHidden/>
              </w:rPr>
              <w:tab/>
            </w:r>
            <w:r w:rsidR="0075209D">
              <w:rPr>
                <w:noProof/>
                <w:webHidden/>
              </w:rPr>
              <w:fldChar w:fldCharType="begin"/>
            </w:r>
            <w:r w:rsidR="0075209D">
              <w:rPr>
                <w:noProof/>
                <w:webHidden/>
              </w:rPr>
              <w:instrText xml:space="preserve"> PAGEREF _Toc393749908 \h </w:instrText>
            </w:r>
            <w:r w:rsidR="0075209D">
              <w:rPr>
                <w:noProof/>
                <w:webHidden/>
              </w:rPr>
            </w:r>
            <w:r w:rsidR="0075209D">
              <w:rPr>
                <w:noProof/>
                <w:webHidden/>
              </w:rPr>
              <w:fldChar w:fldCharType="separate"/>
            </w:r>
            <w:r w:rsidR="0075209D">
              <w:rPr>
                <w:noProof/>
                <w:webHidden/>
              </w:rPr>
              <w:t>21</w:t>
            </w:r>
            <w:r w:rsidR="0075209D">
              <w:rPr>
                <w:noProof/>
                <w:webHidden/>
              </w:rPr>
              <w:fldChar w:fldCharType="end"/>
            </w:r>
          </w:hyperlink>
        </w:p>
        <w:p w14:paraId="6C9874F7" w14:textId="77777777" w:rsidR="0075209D" w:rsidRDefault="008B55D5">
          <w:pPr>
            <w:pStyle w:val="TOC2"/>
            <w:tabs>
              <w:tab w:val="right" w:leader="dot" w:pos="8630"/>
            </w:tabs>
            <w:rPr>
              <w:i w:val="0"/>
              <w:noProof/>
              <w:color w:val="auto"/>
              <w:lang w:val="en-GB" w:eastAsia="en-GB"/>
            </w:rPr>
          </w:pPr>
          <w:hyperlink w:anchor="_Toc393749909" w:history="1">
            <w:r w:rsidR="0075209D" w:rsidRPr="00192093">
              <w:rPr>
                <w:rStyle w:val="Hyperlink"/>
                <w:noProof/>
              </w:rPr>
              <w:t>Diesel hybrid systems and the effect of battery sizing on the overall system efficiency</w:t>
            </w:r>
            <w:r w:rsidR="0075209D">
              <w:rPr>
                <w:noProof/>
                <w:webHidden/>
              </w:rPr>
              <w:tab/>
            </w:r>
            <w:r w:rsidR="0075209D">
              <w:rPr>
                <w:noProof/>
                <w:webHidden/>
              </w:rPr>
              <w:fldChar w:fldCharType="begin"/>
            </w:r>
            <w:r w:rsidR="0075209D">
              <w:rPr>
                <w:noProof/>
                <w:webHidden/>
              </w:rPr>
              <w:instrText xml:space="preserve"> PAGEREF _Toc393749909 \h </w:instrText>
            </w:r>
            <w:r w:rsidR="0075209D">
              <w:rPr>
                <w:noProof/>
                <w:webHidden/>
              </w:rPr>
            </w:r>
            <w:r w:rsidR="0075209D">
              <w:rPr>
                <w:noProof/>
                <w:webHidden/>
              </w:rPr>
              <w:fldChar w:fldCharType="separate"/>
            </w:r>
            <w:r w:rsidR="0075209D">
              <w:rPr>
                <w:noProof/>
                <w:webHidden/>
              </w:rPr>
              <w:t>22</w:t>
            </w:r>
            <w:r w:rsidR="0075209D">
              <w:rPr>
                <w:noProof/>
                <w:webHidden/>
              </w:rPr>
              <w:fldChar w:fldCharType="end"/>
            </w:r>
          </w:hyperlink>
        </w:p>
        <w:p w14:paraId="2FCC155B" w14:textId="77777777" w:rsidR="0075209D" w:rsidRDefault="008B55D5">
          <w:pPr>
            <w:pStyle w:val="TOC2"/>
            <w:tabs>
              <w:tab w:val="right" w:leader="dot" w:pos="8630"/>
            </w:tabs>
            <w:rPr>
              <w:i w:val="0"/>
              <w:noProof/>
              <w:color w:val="auto"/>
              <w:lang w:val="en-GB" w:eastAsia="en-GB"/>
            </w:rPr>
          </w:pPr>
          <w:hyperlink w:anchor="_Toc393749910" w:history="1">
            <w:r w:rsidR="0075209D" w:rsidRPr="00192093">
              <w:rPr>
                <w:rStyle w:val="Hyperlink"/>
                <w:noProof/>
              </w:rPr>
              <w:t>Comparative analysis of Green Technologies and their Feasibility parameters</w:t>
            </w:r>
            <w:r w:rsidR="0075209D">
              <w:rPr>
                <w:noProof/>
                <w:webHidden/>
              </w:rPr>
              <w:tab/>
            </w:r>
            <w:r w:rsidR="0075209D">
              <w:rPr>
                <w:noProof/>
                <w:webHidden/>
              </w:rPr>
              <w:fldChar w:fldCharType="begin"/>
            </w:r>
            <w:r w:rsidR="0075209D">
              <w:rPr>
                <w:noProof/>
                <w:webHidden/>
              </w:rPr>
              <w:instrText xml:space="preserve"> PAGEREF _Toc393749910 \h </w:instrText>
            </w:r>
            <w:r w:rsidR="0075209D">
              <w:rPr>
                <w:noProof/>
                <w:webHidden/>
              </w:rPr>
            </w:r>
            <w:r w:rsidR="0075209D">
              <w:rPr>
                <w:noProof/>
                <w:webHidden/>
              </w:rPr>
              <w:fldChar w:fldCharType="separate"/>
            </w:r>
            <w:r w:rsidR="0075209D">
              <w:rPr>
                <w:noProof/>
                <w:webHidden/>
              </w:rPr>
              <w:t>23</w:t>
            </w:r>
            <w:r w:rsidR="0075209D">
              <w:rPr>
                <w:noProof/>
                <w:webHidden/>
              </w:rPr>
              <w:fldChar w:fldCharType="end"/>
            </w:r>
          </w:hyperlink>
        </w:p>
        <w:p w14:paraId="435C0492" w14:textId="77777777" w:rsidR="0075209D" w:rsidRDefault="008B55D5">
          <w:pPr>
            <w:pStyle w:val="TOC3"/>
            <w:tabs>
              <w:tab w:val="right" w:leader="dot" w:pos="8630"/>
            </w:tabs>
            <w:rPr>
              <w:noProof/>
              <w:color w:val="auto"/>
              <w:lang w:val="en-GB" w:eastAsia="en-GB"/>
            </w:rPr>
          </w:pPr>
          <w:hyperlink w:anchor="_Toc393749911" w:history="1">
            <w:r w:rsidR="0075209D" w:rsidRPr="00192093">
              <w:rPr>
                <w:rStyle w:val="Hyperlink"/>
                <w:noProof/>
              </w:rPr>
              <w:t>Comparison of Power Generation Costs per kWh</w:t>
            </w:r>
            <w:r w:rsidR="0075209D">
              <w:rPr>
                <w:noProof/>
                <w:webHidden/>
              </w:rPr>
              <w:tab/>
            </w:r>
            <w:r w:rsidR="0075209D">
              <w:rPr>
                <w:noProof/>
                <w:webHidden/>
              </w:rPr>
              <w:fldChar w:fldCharType="begin"/>
            </w:r>
            <w:r w:rsidR="0075209D">
              <w:rPr>
                <w:noProof/>
                <w:webHidden/>
              </w:rPr>
              <w:instrText xml:space="preserve"> PAGEREF _Toc393749911 \h </w:instrText>
            </w:r>
            <w:r w:rsidR="0075209D">
              <w:rPr>
                <w:noProof/>
                <w:webHidden/>
              </w:rPr>
            </w:r>
            <w:r w:rsidR="0075209D">
              <w:rPr>
                <w:noProof/>
                <w:webHidden/>
              </w:rPr>
              <w:fldChar w:fldCharType="separate"/>
            </w:r>
            <w:r w:rsidR="0075209D">
              <w:rPr>
                <w:noProof/>
                <w:webHidden/>
              </w:rPr>
              <w:t>24</w:t>
            </w:r>
            <w:r w:rsidR="0075209D">
              <w:rPr>
                <w:noProof/>
                <w:webHidden/>
              </w:rPr>
              <w:fldChar w:fldCharType="end"/>
            </w:r>
          </w:hyperlink>
        </w:p>
        <w:p w14:paraId="3C283DF0" w14:textId="77777777" w:rsidR="0075209D" w:rsidRDefault="008B55D5">
          <w:pPr>
            <w:pStyle w:val="TOC1"/>
            <w:tabs>
              <w:tab w:val="right" w:leader="dot" w:pos="8630"/>
            </w:tabs>
            <w:rPr>
              <w:b w:val="0"/>
              <w:noProof/>
              <w:color w:val="auto"/>
              <w:lang w:val="en-GB" w:eastAsia="en-GB"/>
            </w:rPr>
          </w:pPr>
          <w:hyperlink w:anchor="_Toc393749912" w:history="1">
            <w:r w:rsidR="0075209D" w:rsidRPr="00192093">
              <w:rPr>
                <w:rStyle w:val="Hyperlink"/>
                <w:noProof/>
              </w:rPr>
              <w:t>Conclusion</w:t>
            </w:r>
            <w:r w:rsidR="0075209D">
              <w:rPr>
                <w:noProof/>
                <w:webHidden/>
              </w:rPr>
              <w:tab/>
            </w:r>
            <w:r w:rsidR="0075209D">
              <w:rPr>
                <w:noProof/>
                <w:webHidden/>
              </w:rPr>
              <w:fldChar w:fldCharType="begin"/>
            </w:r>
            <w:r w:rsidR="0075209D">
              <w:rPr>
                <w:noProof/>
                <w:webHidden/>
              </w:rPr>
              <w:instrText xml:space="preserve"> PAGEREF _Toc393749912 \h </w:instrText>
            </w:r>
            <w:r w:rsidR="0075209D">
              <w:rPr>
                <w:noProof/>
                <w:webHidden/>
              </w:rPr>
            </w:r>
            <w:r w:rsidR="0075209D">
              <w:rPr>
                <w:noProof/>
                <w:webHidden/>
              </w:rPr>
              <w:fldChar w:fldCharType="separate"/>
            </w:r>
            <w:r w:rsidR="0075209D">
              <w:rPr>
                <w:noProof/>
                <w:webHidden/>
              </w:rPr>
              <w:t>26</w:t>
            </w:r>
            <w:r w:rsidR="0075209D">
              <w:rPr>
                <w:noProof/>
                <w:webHidden/>
              </w:rPr>
              <w:fldChar w:fldCharType="end"/>
            </w:r>
          </w:hyperlink>
        </w:p>
        <w:p w14:paraId="33629C7E" w14:textId="0C1AE83B" w:rsidR="00015203" w:rsidRDefault="00B97CB4">
          <w:pPr>
            <w:rPr>
              <w:noProof/>
            </w:rPr>
          </w:pPr>
          <w:r>
            <w:rPr>
              <w:rFonts w:asciiTheme="minorHAnsi" w:hAnsiTheme="minorHAnsi"/>
              <w:sz w:val="22"/>
              <w:szCs w:val="22"/>
            </w:rPr>
            <w:fldChar w:fldCharType="end"/>
          </w:r>
        </w:p>
      </w:sdtContent>
    </w:sdt>
    <w:p w14:paraId="7D0376C9" w14:textId="77777777" w:rsidR="00D150E8" w:rsidRDefault="00D150E8">
      <w:pPr>
        <w:rPr>
          <w:noProof/>
        </w:rPr>
      </w:pPr>
    </w:p>
    <w:p w14:paraId="3873D5BD" w14:textId="77777777" w:rsidR="00B74CB1" w:rsidRDefault="00B74CB1">
      <w:pPr>
        <w:spacing w:line="240" w:lineRule="auto"/>
        <w:jc w:val="left"/>
        <w:rPr>
          <w:b/>
          <w:noProof/>
        </w:rPr>
      </w:pPr>
      <w:r>
        <w:rPr>
          <w:b/>
          <w:noProof/>
        </w:rPr>
        <w:br w:type="page"/>
      </w:r>
    </w:p>
    <w:p w14:paraId="1334BFF3" w14:textId="7171DE8E" w:rsidR="00D150E8" w:rsidRPr="00D150E8" w:rsidRDefault="00D150E8">
      <w:pPr>
        <w:rPr>
          <w:b/>
          <w:noProof/>
        </w:rPr>
      </w:pPr>
      <w:r w:rsidRPr="00D150E8">
        <w:rPr>
          <w:b/>
          <w:noProof/>
        </w:rPr>
        <w:lastRenderedPageBreak/>
        <w:t>Figures</w:t>
      </w:r>
    </w:p>
    <w:p w14:paraId="688DA240" w14:textId="77777777" w:rsidR="0075209D" w:rsidRDefault="00D150E8">
      <w:pPr>
        <w:pStyle w:val="TableofFigures"/>
        <w:tabs>
          <w:tab w:val="right" w:leader="dot" w:pos="8630"/>
        </w:tabs>
        <w:rPr>
          <w:rFonts w:asciiTheme="minorHAnsi" w:hAnsiTheme="minorHAnsi"/>
          <w:noProof/>
          <w:color w:val="auto"/>
          <w:sz w:val="22"/>
          <w:szCs w:val="22"/>
          <w:lang w:val="en-GB" w:eastAsia="en-GB"/>
        </w:rPr>
      </w:pPr>
      <w:r>
        <w:rPr>
          <w:noProof/>
        </w:rPr>
        <w:fldChar w:fldCharType="begin"/>
      </w:r>
      <w:r>
        <w:rPr>
          <w:noProof/>
        </w:rPr>
        <w:instrText xml:space="preserve"> TOC \h \z \c "Figure" </w:instrText>
      </w:r>
      <w:r>
        <w:rPr>
          <w:noProof/>
        </w:rPr>
        <w:fldChar w:fldCharType="separate"/>
      </w:r>
      <w:hyperlink w:anchor="_Toc393749913" w:history="1">
        <w:r w:rsidR="0075209D" w:rsidRPr="00F300E8">
          <w:rPr>
            <w:rStyle w:val="Hyperlink"/>
            <w:noProof/>
          </w:rPr>
          <w:t>Figure 1: Global Off-grid and Unreliable-grid Mobile Network: Current Size and Future Growth</w:t>
        </w:r>
        <w:r w:rsidR="0075209D">
          <w:rPr>
            <w:noProof/>
            <w:webHidden/>
          </w:rPr>
          <w:tab/>
        </w:r>
        <w:r w:rsidR="0075209D">
          <w:rPr>
            <w:noProof/>
            <w:webHidden/>
          </w:rPr>
          <w:fldChar w:fldCharType="begin"/>
        </w:r>
        <w:r w:rsidR="0075209D">
          <w:rPr>
            <w:noProof/>
            <w:webHidden/>
          </w:rPr>
          <w:instrText xml:space="preserve"> PAGEREF _Toc393749913 \h </w:instrText>
        </w:r>
        <w:r w:rsidR="0075209D">
          <w:rPr>
            <w:noProof/>
            <w:webHidden/>
          </w:rPr>
        </w:r>
        <w:r w:rsidR="0075209D">
          <w:rPr>
            <w:noProof/>
            <w:webHidden/>
          </w:rPr>
          <w:fldChar w:fldCharType="separate"/>
        </w:r>
        <w:r w:rsidR="0075209D">
          <w:rPr>
            <w:noProof/>
            <w:webHidden/>
          </w:rPr>
          <w:t>5</w:t>
        </w:r>
        <w:r w:rsidR="0075209D">
          <w:rPr>
            <w:noProof/>
            <w:webHidden/>
          </w:rPr>
          <w:fldChar w:fldCharType="end"/>
        </w:r>
      </w:hyperlink>
    </w:p>
    <w:p w14:paraId="1C965C8D"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14" w:history="1">
        <w:r w:rsidR="0075209D" w:rsidRPr="00F300E8">
          <w:rPr>
            <w:rStyle w:val="Hyperlink"/>
            <w:noProof/>
          </w:rPr>
          <w:t>Figure 2: A typical Telecom Power System and Components</w:t>
        </w:r>
        <w:r w:rsidR="0075209D">
          <w:rPr>
            <w:noProof/>
            <w:webHidden/>
          </w:rPr>
          <w:tab/>
        </w:r>
        <w:r w:rsidR="0075209D">
          <w:rPr>
            <w:noProof/>
            <w:webHidden/>
          </w:rPr>
          <w:fldChar w:fldCharType="begin"/>
        </w:r>
        <w:r w:rsidR="0075209D">
          <w:rPr>
            <w:noProof/>
            <w:webHidden/>
          </w:rPr>
          <w:instrText xml:space="preserve"> PAGEREF _Toc393749914 \h </w:instrText>
        </w:r>
        <w:r w:rsidR="0075209D">
          <w:rPr>
            <w:noProof/>
            <w:webHidden/>
          </w:rPr>
        </w:r>
        <w:r w:rsidR="0075209D">
          <w:rPr>
            <w:noProof/>
            <w:webHidden/>
          </w:rPr>
          <w:fldChar w:fldCharType="separate"/>
        </w:r>
        <w:r w:rsidR="0075209D">
          <w:rPr>
            <w:noProof/>
            <w:webHidden/>
          </w:rPr>
          <w:t>9</w:t>
        </w:r>
        <w:r w:rsidR="0075209D">
          <w:rPr>
            <w:noProof/>
            <w:webHidden/>
          </w:rPr>
          <w:fldChar w:fldCharType="end"/>
        </w:r>
      </w:hyperlink>
    </w:p>
    <w:p w14:paraId="4F695BE6"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15" w:history="1">
        <w:r w:rsidR="0075209D" w:rsidRPr="00F300E8">
          <w:rPr>
            <w:rStyle w:val="Hyperlink"/>
            <w:noProof/>
          </w:rPr>
          <w:t>Figure 3: Feasibility (CDC vs. Green): Varying Green Energy Contribution – impact on TCO and Payback</w:t>
        </w:r>
        <w:r w:rsidR="0075209D">
          <w:rPr>
            <w:noProof/>
            <w:webHidden/>
          </w:rPr>
          <w:tab/>
        </w:r>
        <w:r w:rsidR="0075209D">
          <w:rPr>
            <w:noProof/>
            <w:webHidden/>
          </w:rPr>
          <w:fldChar w:fldCharType="begin"/>
        </w:r>
        <w:r w:rsidR="0075209D">
          <w:rPr>
            <w:noProof/>
            <w:webHidden/>
          </w:rPr>
          <w:instrText xml:space="preserve"> PAGEREF _Toc393749915 \h </w:instrText>
        </w:r>
        <w:r w:rsidR="0075209D">
          <w:rPr>
            <w:noProof/>
            <w:webHidden/>
          </w:rPr>
        </w:r>
        <w:r w:rsidR="0075209D">
          <w:rPr>
            <w:noProof/>
            <w:webHidden/>
          </w:rPr>
          <w:fldChar w:fldCharType="separate"/>
        </w:r>
        <w:r w:rsidR="0075209D">
          <w:rPr>
            <w:noProof/>
            <w:webHidden/>
          </w:rPr>
          <w:t>12</w:t>
        </w:r>
        <w:r w:rsidR="0075209D">
          <w:rPr>
            <w:noProof/>
            <w:webHidden/>
          </w:rPr>
          <w:fldChar w:fldCharType="end"/>
        </w:r>
      </w:hyperlink>
    </w:p>
    <w:p w14:paraId="17F755C2"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16" w:history="1">
        <w:r w:rsidR="0075209D" w:rsidRPr="00F300E8">
          <w:rPr>
            <w:rStyle w:val="Hyperlink"/>
            <w:noProof/>
          </w:rPr>
          <w:t>Figure 4: Feasibility (CDC vs. Green): Change (+/-) in Site Load – impact on TCO and Payback (at constant green contribution)</w:t>
        </w:r>
        <w:r w:rsidR="0075209D">
          <w:rPr>
            <w:noProof/>
            <w:webHidden/>
          </w:rPr>
          <w:tab/>
        </w:r>
        <w:r w:rsidR="0075209D">
          <w:rPr>
            <w:noProof/>
            <w:webHidden/>
          </w:rPr>
          <w:fldChar w:fldCharType="begin"/>
        </w:r>
        <w:r w:rsidR="0075209D">
          <w:rPr>
            <w:noProof/>
            <w:webHidden/>
          </w:rPr>
          <w:instrText xml:space="preserve"> PAGEREF _Toc393749916 \h </w:instrText>
        </w:r>
        <w:r w:rsidR="0075209D">
          <w:rPr>
            <w:noProof/>
            <w:webHidden/>
          </w:rPr>
        </w:r>
        <w:r w:rsidR="0075209D">
          <w:rPr>
            <w:noProof/>
            <w:webHidden/>
          </w:rPr>
          <w:fldChar w:fldCharType="separate"/>
        </w:r>
        <w:r w:rsidR="0075209D">
          <w:rPr>
            <w:noProof/>
            <w:webHidden/>
          </w:rPr>
          <w:t>13</w:t>
        </w:r>
        <w:r w:rsidR="0075209D">
          <w:rPr>
            <w:noProof/>
            <w:webHidden/>
          </w:rPr>
          <w:fldChar w:fldCharType="end"/>
        </w:r>
      </w:hyperlink>
    </w:p>
    <w:p w14:paraId="06A1A6BB"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17" w:history="1">
        <w:r w:rsidR="0075209D" w:rsidRPr="00F300E8">
          <w:rPr>
            <w:rStyle w:val="Hyperlink"/>
            <w:noProof/>
          </w:rPr>
          <w:t>Figure 5: Feasibility (CDC vs. Green): Change (+/-) in Site Load – impact on TCO and Payback (at constant CAPEX)</w:t>
        </w:r>
        <w:r w:rsidR="0075209D">
          <w:rPr>
            <w:noProof/>
            <w:webHidden/>
          </w:rPr>
          <w:tab/>
        </w:r>
        <w:r w:rsidR="0075209D">
          <w:rPr>
            <w:noProof/>
            <w:webHidden/>
          </w:rPr>
          <w:fldChar w:fldCharType="begin"/>
        </w:r>
        <w:r w:rsidR="0075209D">
          <w:rPr>
            <w:noProof/>
            <w:webHidden/>
          </w:rPr>
          <w:instrText xml:space="preserve"> PAGEREF _Toc393749917 \h </w:instrText>
        </w:r>
        <w:r w:rsidR="0075209D">
          <w:rPr>
            <w:noProof/>
            <w:webHidden/>
          </w:rPr>
        </w:r>
        <w:r w:rsidR="0075209D">
          <w:rPr>
            <w:noProof/>
            <w:webHidden/>
          </w:rPr>
          <w:fldChar w:fldCharType="separate"/>
        </w:r>
        <w:r w:rsidR="0075209D">
          <w:rPr>
            <w:noProof/>
            <w:webHidden/>
          </w:rPr>
          <w:t>14</w:t>
        </w:r>
        <w:r w:rsidR="0075209D">
          <w:rPr>
            <w:noProof/>
            <w:webHidden/>
          </w:rPr>
          <w:fldChar w:fldCharType="end"/>
        </w:r>
      </w:hyperlink>
    </w:p>
    <w:p w14:paraId="028610B4"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18" w:history="1">
        <w:r w:rsidR="0075209D" w:rsidRPr="00F300E8">
          <w:rPr>
            <w:rStyle w:val="Hyperlink"/>
            <w:noProof/>
          </w:rPr>
          <w:t>Figure 6: Feasibility (CDC vs. Green): Varying solar radiation – impact on TCO and Payback</w:t>
        </w:r>
        <w:r w:rsidR="0075209D">
          <w:rPr>
            <w:noProof/>
            <w:webHidden/>
          </w:rPr>
          <w:tab/>
        </w:r>
        <w:r w:rsidR="0075209D">
          <w:rPr>
            <w:noProof/>
            <w:webHidden/>
          </w:rPr>
          <w:fldChar w:fldCharType="begin"/>
        </w:r>
        <w:r w:rsidR="0075209D">
          <w:rPr>
            <w:noProof/>
            <w:webHidden/>
          </w:rPr>
          <w:instrText xml:space="preserve"> PAGEREF _Toc393749918 \h </w:instrText>
        </w:r>
        <w:r w:rsidR="0075209D">
          <w:rPr>
            <w:noProof/>
            <w:webHidden/>
          </w:rPr>
        </w:r>
        <w:r w:rsidR="0075209D">
          <w:rPr>
            <w:noProof/>
            <w:webHidden/>
          </w:rPr>
          <w:fldChar w:fldCharType="separate"/>
        </w:r>
        <w:r w:rsidR="0075209D">
          <w:rPr>
            <w:noProof/>
            <w:webHidden/>
          </w:rPr>
          <w:t>15</w:t>
        </w:r>
        <w:r w:rsidR="0075209D">
          <w:rPr>
            <w:noProof/>
            <w:webHidden/>
          </w:rPr>
          <w:fldChar w:fldCharType="end"/>
        </w:r>
      </w:hyperlink>
    </w:p>
    <w:p w14:paraId="6C3B88C7"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19" w:history="1">
        <w:r w:rsidR="0075209D" w:rsidRPr="00F300E8">
          <w:rPr>
            <w:rStyle w:val="Hyperlink"/>
            <w:noProof/>
          </w:rPr>
          <w:t>Figure 7: Multi-tenant Feasibility (CDC vs. Green): Varying green contribution – impact on TCO and Payback</w:t>
        </w:r>
        <w:r w:rsidR="0075209D">
          <w:rPr>
            <w:noProof/>
            <w:webHidden/>
          </w:rPr>
          <w:tab/>
        </w:r>
        <w:r w:rsidR="0075209D">
          <w:rPr>
            <w:noProof/>
            <w:webHidden/>
          </w:rPr>
          <w:fldChar w:fldCharType="begin"/>
        </w:r>
        <w:r w:rsidR="0075209D">
          <w:rPr>
            <w:noProof/>
            <w:webHidden/>
          </w:rPr>
          <w:instrText xml:space="preserve"> PAGEREF _Toc393749919 \h </w:instrText>
        </w:r>
        <w:r w:rsidR="0075209D">
          <w:rPr>
            <w:noProof/>
            <w:webHidden/>
          </w:rPr>
        </w:r>
        <w:r w:rsidR="0075209D">
          <w:rPr>
            <w:noProof/>
            <w:webHidden/>
          </w:rPr>
          <w:fldChar w:fldCharType="separate"/>
        </w:r>
        <w:r w:rsidR="0075209D">
          <w:rPr>
            <w:noProof/>
            <w:webHidden/>
          </w:rPr>
          <w:t>17</w:t>
        </w:r>
        <w:r w:rsidR="0075209D">
          <w:rPr>
            <w:noProof/>
            <w:webHidden/>
          </w:rPr>
          <w:fldChar w:fldCharType="end"/>
        </w:r>
      </w:hyperlink>
    </w:p>
    <w:p w14:paraId="42FB2DC3"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20" w:history="1">
        <w:r w:rsidR="0075209D" w:rsidRPr="00F300E8">
          <w:rPr>
            <w:rStyle w:val="Hyperlink"/>
            <w:noProof/>
          </w:rPr>
          <w:t>Figure 8: Multi-tenant Feasibility (CDC vs. Green): Tenancy scenarios – impact on TCO and Payback</w:t>
        </w:r>
        <w:r w:rsidR="0075209D">
          <w:rPr>
            <w:noProof/>
            <w:webHidden/>
          </w:rPr>
          <w:tab/>
        </w:r>
        <w:r w:rsidR="0075209D">
          <w:rPr>
            <w:noProof/>
            <w:webHidden/>
          </w:rPr>
          <w:fldChar w:fldCharType="begin"/>
        </w:r>
        <w:r w:rsidR="0075209D">
          <w:rPr>
            <w:noProof/>
            <w:webHidden/>
          </w:rPr>
          <w:instrText xml:space="preserve"> PAGEREF _Toc393749920 \h </w:instrText>
        </w:r>
        <w:r w:rsidR="0075209D">
          <w:rPr>
            <w:noProof/>
            <w:webHidden/>
          </w:rPr>
        </w:r>
        <w:r w:rsidR="0075209D">
          <w:rPr>
            <w:noProof/>
            <w:webHidden/>
          </w:rPr>
          <w:fldChar w:fldCharType="separate"/>
        </w:r>
        <w:r w:rsidR="0075209D">
          <w:rPr>
            <w:noProof/>
            <w:webHidden/>
          </w:rPr>
          <w:t>18</w:t>
        </w:r>
        <w:r w:rsidR="0075209D">
          <w:rPr>
            <w:noProof/>
            <w:webHidden/>
          </w:rPr>
          <w:fldChar w:fldCharType="end"/>
        </w:r>
      </w:hyperlink>
    </w:p>
    <w:p w14:paraId="391758CC"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21" w:history="1">
        <w:r w:rsidR="0075209D" w:rsidRPr="00F300E8">
          <w:rPr>
            <w:rStyle w:val="Hyperlink"/>
            <w:noProof/>
          </w:rPr>
          <w:t>Figure 9: DG loading and OPEX performance</w:t>
        </w:r>
        <w:r w:rsidR="0075209D">
          <w:rPr>
            <w:noProof/>
            <w:webHidden/>
          </w:rPr>
          <w:tab/>
        </w:r>
        <w:r w:rsidR="0075209D">
          <w:rPr>
            <w:noProof/>
            <w:webHidden/>
          </w:rPr>
          <w:fldChar w:fldCharType="begin"/>
        </w:r>
        <w:r w:rsidR="0075209D">
          <w:rPr>
            <w:noProof/>
            <w:webHidden/>
          </w:rPr>
          <w:instrText xml:space="preserve"> PAGEREF _Toc393749921 \h </w:instrText>
        </w:r>
        <w:r w:rsidR="0075209D">
          <w:rPr>
            <w:noProof/>
            <w:webHidden/>
          </w:rPr>
        </w:r>
        <w:r w:rsidR="0075209D">
          <w:rPr>
            <w:noProof/>
            <w:webHidden/>
          </w:rPr>
          <w:fldChar w:fldCharType="separate"/>
        </w:r>
        <w:r w:rsidR="0075209D">
          <w:rPr>
            <w:noProof/>
            <w:webHidden/>
          </w:rPr>
          <w:t>22</w:t>
        </w:r>
        <w:r w:rsidR="0075209D">
          <w:rPr>
            <w:noProof/>
            <w:webHidden/>
          </w:rPr>
          <w:fldChar w:fldCharType="end"/>
        </w:r>
      </w:hyperlink>
    </w:p>
    <w:p w14:paraId="4FB66479"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22" w:history="1">
        <w:r w:rsidR="0075209D" w:rsidRPr="00F300E8">
          <w:rPr>
            <w:rStyle w:val="Hyperlink"/>
            <w:noProof/>
          </w:rPr>
          <w:t>Figure 10: DG loading and impact on TCO</w:t>
        </w:r>
        <w:r w:rsidR="0075209D">
          <w:rPr>
            <w:noProof/>
            <w:webHidden/>
          </w:rPr>
          <w:tab/>
        </w:r>
        <w:r w:rsidR="0075209D">
          <w:rPr>
            <w:noProof/>
            <w:webHidden/>
          </w:rPr>
          <w:fldChar w:fldCharType="begin"/>
        </w:r>
        <w:r w:rsidR="0075209D">
          <w:rPr>
            <w:noProof/>
            <w:webHidden/>
          </w:rPr>
          <w:instrText xml:space="preserve"> PAGEREF _Toc393749922 \h </w:instrText>
        </w:r>
        <w:r w:rsidR="0075209D">
          <w:rPr>
            <w:noProof/>
            <w:webHidden/>
          </w:rPr>
        </w:r>
        <w:r w:rsidR="0075209D">
          <w:rPr>
            <w:noProof/>
            <w:webHidden/>
          </w:rPr>
          <w:fldChar w:fldCharType="separate"/>
        </w:r>
        <w:r w:rsidR="0075209D">
          <w:rPr>
            <w:noProof/>
            <w:webHidden/>
          </w:rPr>
          <w:t>23</w:t>
        </w:r>
        <w:r w:rsidR="0075209D">
          <w:rPr>
            <w:noProof/>
            <w:webHidden/>
          </w:rPr>
          <w:fldChar w:fldCharType="end"/>
        </w:r>
      </w:hyperlink>
    </w:p>
    <w:p w14:paraId="2339520C"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23" w:history="1">
        <w:r w:rsidR="0075209D" w:rsidRPr="00F300E8">
          <w:rPr>
            <w:rStyle w:val="Hyperlink"/>
            <w:noProof/>
          </w:rPr>
          <w:t>Figure 11: Comparison green technologies: Cost of generation ($ / kWh)</w:t>
        </w:r>
        <w:r w:rsidR="0075209D">
          <w:rPr>
            <w:noProof/>
            <w:webHidden/>
          </w:rPr>
          <w:tab/>
        </w:r>
        <w:r w:rsidR="0075209D">
          <w:rPr>
            <w:noProof/>
            <w:webHidden/>
          </w:rPr>
          <w:fldChar w:fldCharType="begin"/>
        </w:r>
        <w:r w:rsidR="0075209D">
          <w:rPr>
            <w:noProof/>
            <w:webHidden/>
          </w:rPr>
          <w:instrText xml:space="preserve"> PAGEREF _Toc393749923 \h </w:instrText>
        </w:r>
        <w:r w:rsidR="0075209D">
          <w:rPr>
            <w:noProof/>
            <w:webHidden/>
          </w:rPr>
        </w:r>
        <w:r w:rsidR="0075209D">
          <w:rPr>
            <w:noProof/>
            <w:webHidden/>
          </w:rPr>
          <w:fldChar w:fldCharType="separate"/>
        </w:r>
        <w:r w:rsidR="0075209D">
          <w:rPr>
            <w:noProof/>
            <w:webHidden/>
          </w:rPr>
          <w:t>25</w:t>
        </w:r>
        <w:r w:rsidR="0075209D">
          <w:rPr>
            <w:noProof/>
            <w:webHidden/>
          </w:rPr>
          <w:fldChar w:fldCharType="end"/>
        </w:r>
      </w:hyperlink>
    </w:p>
    <w:p w14:paraId="69B480FA" w14:textId="77777777" w:rsidR="00D150E8" w:rsidRDefault="00D150E8">
      <w:pPr>
        <w:rPr>
          <w:noProof/>
        </w:rPr>
      </w:pPr>
      <w:r>
        <w:rPr>
          <w:noProof/>
        </w:rPr>
        <w:fldChar w:fldCharType="end"/>
      </w:r>
    </w:p>
    <w:p w14:paraId="5635D705" w14:textId="358B9352" w:rsidR="00D150E8" w:rsidRPr="00343A3D" w:rsidRDefault="00343A3D" w:rsidP="0075209D">
      <w:pPr>
        <w:tabs>
          <w:tab w:val="left" w:pos="2340"/>
        </w:tabs>
        <w:rPr>
          <w:b/>
          <w:noProof/>
        </w:rPr>
      </w:pPr>
      <w:r w:rsidRPr="00343A3D">
        <w:rPr>
          <w:b/>
          <w:noProof/>
        </w:rPr>
        <w:t>Tables</w:t>
      </w:r>
      <w:r w:rsidR="0075209D">
        <w:rPr>
          <w:b/>
          <w:noProof/>
        </w:rPr>
        <w:tab/>
      </w:r>
    </w:p>
    <w:p w14:paraId="4F01618C" w14:textId="77777777" w:rsidR="0075209D" w:rsidRDefault="00D150E8">
      <w:pPr>
        <w:pStyle w:val="TableofFigures"/>
        <w:tabs>
          <w:tab w:val="right" w:leader="dot" w:pos="8630"/>
        </w:tabs>
        <w:rPr>
          <w:rFonts w:asciiTheme="minorHAnsi" w:hAnsiTheme="minorHAnsi"/>
          <w:noProof/>
          <w:color w:val="auto"/>
          <w:sz w:val="22"/>
          <w:szCs w:val="22"/>
          <w:lang w:val="en-GB" w:eastAsia="en-GB"/>
        </w:rPr>
      </w:pPr>
      <w:r>
        <w:rPr>
          <w:noProof/>
        </w:rPr>
        <w:fldChar w:fldCharType="begin"/>
      </w:r>
      <w:r>
        <w:rPr>
          <w:noProof/>
        </w:rPr>
        <w:instrText xml:space="preserve"> TOC \h \z \c "Table" </w:instrText>
      </w:r>
      <w:r>
        <w:rPr>
          <w:noProof/>
        </w:rPr>
        <w:fldChar w:fldCharType="separate"/>
      </w:r>
      <w:hyperlink w:anchor="_Toc393749924" w:history="1">
        <w:r w:rsidR="0075209D" w:rsidRPr="00B83792">
          <w:rPr>
            <w:rStyle w:val="Hyperlink"/>
            <w:noProof/>
          </w:rPr>
          <w:t>Table 1: Invest vs. Outsource</w:t>
        </w:r>
        <w:r w:rsidR="0075209D">
          <w:rPr>
            <w:noProof/>
            <w:webHidden/>
          </w:rPr>
          <w:tab/>
        </w:r>
        <w:r w:rsidR="0075209D">
          <w:rPr>
            <w:noProof/>
            <w:webHidden/>
          </w:rPr>
          <w:fldChar w:fldCharType="begin"/>
        </w:r>
        <w:r w:rsidR="0075209D">
          <w:rPr>
            <w:noProof/>
            <w:webHidden/>
          </w:rPr>
          <w:instrText xml:space="preserve"> PAGEREF _Toc393749924 \h </w:instrText>
        </w:r>
        <w:r w:rsidR="0075209D">
          <w:rPr>
            <w:noProof/>
            <w:webHidden/>
          </w:rPr>
        </w:r>
        <w:r w:rsidR="0075209D">
          <w:rPr>
            <w:noProof/>
            <w:webHidden/>
          </w:rPr>
          <w:fldChar w:fldCharType="separate"/>
        </w:r>
        <w:r w:rsidR="0075209D">
          <w:rPr>
            <w:noProof/>
            <w:webHidden/>
          </w:rPr>
          <w:t>7</w:t>
        </w:r>
        <w:r w:rsidR="0075209D">
          <w:rPr>
            <w:noProof/>
            <w:webHidden/>
          </w:rPr>
          <w:fldChar w:fldCharType="end"/>
        </w:r>
      </w:hyperlink>
    </w:p>
    <w:p w14:paraId="030817B2"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25" w:history="1">
        <w:r w:rsidR="0075209D" w:rsidRPr="00B83792">
          <w:rPr>
            <w:rStyle w:val="Hyperlink"/>
            <w:noProof/>
          </w:rPr>
          <w:t>Table 2: Design Assumptions – Single Tenant</w:t>
        </w:r>
        <w:r w:rsidR="0075209D">
          <w:rPr>
            <w:noProof/>
            <w:webHidden/>
          </w:rPr>
          <w:tab/>
        </w:r>
        <w:r w:rsidR="0075209D">
          <w:rPr>
            <w:noProof/>
            <w:webHidden/>
          </w:rPr>
          <w:fldChar w:fldCharType="begin"/>
        </w:r>
        <w:r w:rsidR="0075209D">
          <w:rPr>
            <w:noProof/>
            <w:webHidden/>
          </w:rPr>
          <w:instrText xml:space="preserve"> PAGEREF _Toc393749925 \h </w:instrText>
        </w:r>
        <w:r w:rsidR="0075209D">
          <w:rPr>
            <w:noProof/>
            <w:webHidden/>
          </w:rPr>
        </w:r>
        <w:r w:rsidR="0075209D">
          <w:rPr>
            <w:noProof/>
            <w:webHidden/>
          </w:rPr>
          <w:fldChar w:fldCharType="separate"/>
        </w:r>
        <w:r w:rsidR="0075209D">
          <w:rPr>
            <w:noProof/>
            <w:webHidden/>
          </w:rPr>
          <w:t>11</w:t>
        </w:r>
        <w:r w:rsidR="0075209D">
          <w:rPr>
            <w:noProof/>
            <w:webHidden/>
          </w:rPr>
          <w:fldChar w:fldCharType="end"/>
        </w:r>
      </w:hyperlink>
    </w:p>
    <w:p w14:paraId="6881C75A"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26" w:history="1">
        <w:r w:rsidR="0075209D" w:rsidRPr="00B83792">
          <w:rPr>
            <w:rStyle w:val="Hyperlink"/>
            <w:noProof/>
          </w:rPr>
          <w:t>Table 3: Design Assumptions – Multi tenant</w:t>
        </w:r>
        <w:r w:rsidR="0075209D">
          <w:rPr>
            <w:noProof/>
            <w:webHidden/>
          </w:rPr>
          <w:tab/>
        </w:r>
        <w:r w:rsidR="0075209D">
          <w:rPr>
            <w:noProof/>
            <w:webHidden/>
          </w:rPr>
          <w:fldChar w:fldCharType="begin"/>
        </w:r>
        <w:r w:rsidR="0075209D">
          <w:rPr>
            <w:noProof/>
            <w:webHidden/>
          </w:rPr>
          <w:instrText xml:space="preserve"> PAGEREF _Toc393749926 \h </w:instrText>
        </w:r>
        <w:r w:rsidR="0075209D">
          <w:rPr>
            <w:noProof/>
            <w:webHidden/>
          </w:rPr>
        </w:r>
        <w:r w:rsidR="0075209D">
          <w:rPr>
            <w:noProof/>
            <w:webHidden/>
          </w:rPr>
          <w:fldChar w:fldCharType="separate"/>
        </w:r>
        <w:r w:rsidR="0075209D">
          <w:rPr>
            <w:noProof/>
            <w:webHidden/>
          </w:rPr>
          <w:t>16</w:t>
        </w:r>
        <w:r w:rsidR="0075209D">
          <w:rPr>
            <w:noProof/>
            <w:webHidden/>
          </w:rPr>
          <w:fldChar w:fldCharType="end"/>
        </w:r>
      </w:hyperlink>
    </w:p>
    <w:p w14:paraId="55C9B0AC" w14:textId="77777777" w:rsidR="0075209D" w:rsidRDefault="008B55D5">
      <w:pPr>
        <w:pStyle w:val="TableofFigures"/>
        <w:tabs>
          <w:tab w:val="right" w:leader="dot" w:pos="8630"/>
        </w:tabs>
        <w:rPr>
          <w:rFonts w:asciiTheme="minorHAnsi" w:hAnsiTheme="minorHAnsi"/>
          <w:noProof/>
          <w:color w:val="auto"/>
          <w:sz w:val="22"/>
          <w:szCs w:val="22"/>
          <w:lang w:val="en-GB" w:eastAsia="en-GB"/>
        </w:rPr>
      </w:pPr>
      <w:hyperlink w:anchor="_Toc393749927" w:history="1">
        <w:r w:rsidR="0075209D" w:rsidRPr="00B83792">
          <w:rPr>
            <w:rStyle w:val="Hyperlink"/>
            <w:noProof/>
          </w:rPr>
          <w:t>Table 4: Comparison of green technologies: Pros and Cons</w:t>
        </w:r>
        <w:r w:rsidR="0075209D">
          <w:rPr>
            <w:noProof/>
            <w:webHidden/>
          </w:rPr>
          <w:tab/>
        </w:r>
        <w:r w:rsidR="0075209D">
          <w:rPr>
            <w:noProof/>
            <w:webHidden/>
          </w:rPr>
          <w:fldChar w:fldCharType="begin"/>
        </w:r>
        <w:r w:rsidR="0075209D">
          <w:rPr>
            <w:noProof/>
            <w:webHidden/>
          </w:rPr>
          <w:instrText xml:space="preserve"> PAGEREF _Toc393749927 \h </w:instrText>
        </w:r>
        <w:r w:rsidR="0075209D">
          <w:rPr>
            <w:noProof/>
            <w:webHidden/>
          </w:rPr>
        </w:r>
        <w:r w:rsidR="0075209D">
          <w:rPr>
            <w:noProof/>
            <w:webHidden/>
          </w:rPr>
          <w:fldChar w:fldCharType="separate"/>
        </w:r>
        <w:r w:rsidR="0075209D">
          <w:rPr>
            <w:noProof/>
            <w:webHidden/>
          </w:rPr>
          <w:t>23</w:t>
        </w:r>
        <w:r w:rsidR="0075209D">
          <w:rPr>
            <w:noProof/>
            <w:webHidden/>
          </w:rPr>
          <w:fldChar w:fldCharType="end"/>
        </w:r>
      </w:hyperlink>
    </w:p>
    <w:p w14:paraId="6A86C3DD" w14:textId="77777777" w:rsidR="00D150E8" w:rsidRDefault="00D150E8">
      <w:pPr>
        <w:rPr>
          <w:noProof/>
        </w:rPr>
      </w:pPr>
      <w:r>
        <w:rPr>
          <w:noProof/>
        </w:rPr>
        <w:fldChar w:fldCharType="end"/>
      </w:r>
    </w:p>
    <w:p w14:paraId="1CE62B88" w14:textId="77777777" w:rsidR="0042226B" w:rsidRDefault="0042226B">
      <w:pPr>
        <w:rPr>
          <w:noProof/>
        </w:rPr>
      </w:pPr>
    </w:p>
    <w:p w14:paraId="3625B33F" w14:textId="77777777" w:rsidR="0042226B" w:rsidRPr="0042226B" w:rsidRDefault="0042226B" w:rsidP="0042226B">
      <w:pPr>
        <w:rPr>
          <w:noProof/>
          <w:lang w:val="en-GB"/>
        </w:rPr>
      </w:pPr>
      <w:r w:rsidRPr="0042226B">
        <w:rPr>
          <w:b/>
          <w:noProof/>
          <w:lang w:val="en-GB"/>
        </w:rPr>
        <w:t>Objective</w:t>
      </w:r>
    </w:p>
    <w:p w14:paraId="5F5A45BC" w14:textId="337E6FF7" w:rsidR="0042226B" w:rsidRDefault="0042226B" w:rsidP="0042226B">
      <w:pPr>
        <w:rPr>
          <w:noProof/>
          <w:lang w:val="en-GB"/>
        </w:rPr>
      </w:pPr>
      <w:r w:rsidRPr="0042226B">
        <w:rPr>
          <w:noProof/>
          <w:lang w:val="en-GB"/>
        </w:rPr>
        <w:t xml:space="preserve">The </w:t>
      </w:r>
      <w:r w:rsidR="006E734B">
        <w:rPr>
          <w:noProof/>
          <w:lang w:val="en-GB"/>
        </w:rPr>
        <w:t>technical paper focus</w:t>
      </w:r>
      <w:r w:rsidR="003E3D6C">
        <w:rPr>
          <w:noProof/>
          <w:lang w:val="en-GB"/>
        </w:rPr>
        <w:t xml:space="preserve">es on identifying the right design approach for analysing the feasibility of green power as an alternative to diesel based power solution for powering off-grid telecom base station sites. In this paper we look at various design parameters and analyse scenarios related to green power feasbility. </w:t>
      </w:r>
    </w:p>
    <w:p w14:paraId="2D55C0FA" w14:textId="77777777" w:rsidR="003E3D6C" w:rsidRDefault="003E3D6C" w:rsidP="0042226B">
      <w:pPr>
        <w:rPr>
          <w:noProof/>
          <w:lang w:val="en-GB"/>
        </w:rPr>
      </w:pPr>
    </w:p>
    <w:p w14:paraId="4DD9020C" w14:textId="11913961" w:rsidR="003E3D6C" w:rsidRDefault="003E3D6C" w:rsidP="0042226B">
      <w:pPr>
        <w:rPr>
          <w:noProof/>
          <w:lang w:val="en-GB"/>
        </w:rPr>
      </w:pPr>
      <w:r>
        <w:rPr>
          <w:noProof/>
          <w:lang w:val="en-GB"/>
        </w:rPr>
        <w:t>The paper highlights the importance of some of key design parameters and their effect on green power feasibility – both technical and commercial. A comparative analysis of various green technology choices is also presented looking at pros and cons of each technology choice for understanding the deployment suitability and commercial feasibility for powering telecom base station sites.</w:t>
      </w:r>
    </w:p>
    <w:p w14:paraId="640792A2" w14:textId="77777777" w:rsidR="003E3D6C" w:rsidRPr="0042226B" w:rsidRDefault="003E3D6C" w:rsidP="0042226B">
      <w:pPr>
        <w:rPr>
          <w:noProof/>
          <w:lang w:val="en-GB"/>
        </w:rPr>
      </w:pPr>
    </w:p>
    <w:p w14:paraId="476603CA" w14:textId="19ADC0CD" w:rsidR="0042226B" w:rsidRPr="0042226B" w:rsidRDefault="003E3D6C" w:rsidP="0042226B">
      <w:pPr>
        <w:rPr>
          <w:b/>
          <w:noProof/>
          <w:lang w:val="en-GB"/>
        </w:rPr>
      </w:pPr>
      <w:r>
        <w:rPr>
          <w:b/>
          <w:noProof/>
          <w:lang w:val="en-GB"/>
        </w:rPr>
        <w:t>Audience</w:t>
      </w:r>
    </w:p>
    <w:p w14:paraId="2AFCD249" w14:textId="77777777" w:rsidR="003E3D6C" w:rsidRDefault="0042226B" w:rsidP="0042226B">
      <w:pPr>
        <w:rPr>
          <w:noProof/>
          <w:lang w:val="en-GB"/>
        </w:rPr>
      </w:pPr>
      <w:r w:rsidRPr="0042226B">
        <w:rPr>
          <w:noProof/>
          <w:lang w:val="en-GB"/>
        </w:rPr>
        <w:t xml:space="preserve">The </w:t>
      </w:r>
      <w:r w:rsidR="003E3D6C">
        <w:rPr>
          <w:noProof/>
          <w:lang w:val="en-GB"/>
        </w:rPr>
        <w:t>Green Power for Mobile Technical paper could benefit all stakeholders inlcuding MNOs and Tower Cos as well as the solution providers and integrators in understanding the essential design approach and key parameters affecting the feasibility of green power alternatives for power base station sites.</w:t>
      </w:r>
    </w:p>
    <w:p w14:paraId="0BAB541F" w14:textId="77777777" w:rsidR="003E3D6C" w:rsidRDefault="003E3D6C" w:rsidP="0042226B">
      <w:pPr>
        <w:rPr>
          <w:noProof/>
          <w:lang w:val="en-GB"/>
        </w:rPr>
      </w:pPr>
    </w:p>
    <w:p w14:paraId="469F8CA7" w14:textId="77777777" w:rsidR="0075209D" w:rsidRDefault="0075209D" w:rsidP="0042226B">
      <w:pPr>
        <w:rPr>
          <w:noProof/>
          <w:lang w:val="en-GB"/>
        </w:rPr>
      </w:pPr>
    </w:p>
    <w:p w14:paraId="5D318519" w14:textId="77777777" w:rsidR="00E62B62" w:rsidRDefault="00E62B62" w:rsidP="0042226B">
      <w:pPr>
        <w:rPr>
          <w:noProof/>
          <w:lang w:val="en-GB"/>
        </w:rPr>
      </w:pPr>
    </w:p>
    <w:p w14:paraId="4FCC062B" w14:textId="77777777" w:rsidR="00E62B62" w:rsidRDefault="00E62B62" w:rsidP="0042226B">
      <w:pPr>
        <w:rPr>
          <w:noProof/>
          <w:lang w:val="en-GB"/>
        </w:rPr>
      </w:pPr>
    </w:p>
    <w:p w14:paraId="1EB60AB3" w14:textId="77777777" w:rsidR="0042226B" w:rsidRPr="0042226B" w:rsidRDefault="0042226B" w:rsidP="0042226B">
      <w:pPr>
        <w:rPr>
          <w:b/>
          <w:bCs/>
          <w:noProof/>
        </w:rPr>
      </w:pPr>
      <w:bookmarkStart w:id="2" w:name="_Toc359507322"/>
      <w:bookmarkStart w:id="3" w:name="_Toc385242574"/>
      <w:r w:rsidRPr="0042226B">
        <w:rPr>
          <w:b/>
          <w:bCs/>
          <w:noProof/>
        </w:rPr>
        <w:lastRenderedPageBreak/>
        <w:t>Glossary:</w:t>
      </w:r>
      <w:bookmarkEnd w:id="2"/>
      <w:bookmarkEnd w:id="3"/>
    </w:p>
    <w:p w14:paraId="48C5340B" w14:textId="77777777" w:rsidR="0042226B" w:rsidRPr="0042226B" w:rsidRDefault="0042226B" w:rsidP="0042226B">
      <w:pPr>
        <w:rPr>
          <w:noProof/>
          <w:lang w:val="en-GB"/>
        </w:rPr>
      </w:pPr>
      <w:r w:rsidRPr="0042226B">
        <w:rPr>
          <w:b/>
          <w:noProof/>
          <w:lang w:val="en-GB"/>
        </w:rPr>
        <w:t>MNO:</w:t>
      </w:r>
      <w:r w:rsidRPr="0042226B">
        <w:rPr>
          <w:noProof/>
          <w:lang w:val="en-GB"/>
        </w:rPr>
        <w:t xml:space="preserve"> Mobile network operator or mobile operator</w:t>
      </w:r>
    </w:p>
    <w:p w14:paraId="506A5A9E" w14:textId="77777777" w:rsidR="0042226B" w:rsidRPr="0042226B" w:rsidRDefault="0042226B" w:rsidP="0042226B">
      <w:pPr>
        <w:rPr>
          <w:noProof/>
          <w:lang w:val="en-GB"/>
        </w:rPr>
      </w:pPr>
      <w:r w:rsidRPr="0042226B">
        <w:rPr>
          <w:b/>
          <w:noProof/>
          <w:lang w:val="en-GB"/>
        </w:rPr>
        <w:t>Tower Company (Tower Co):</w:t>
      </w:r>
      <w:r w:rsidRPr="0042226B">
        <w:rPr>
          <w:noProof/>
          <w:lang w:val="en-GB"/>
        </w:rPr>
        <w:t xml:space="preserve"> A company that manages a part or the entire assets of a telecom tower.</w:t>
      </w:r>
    </w:p>
    <w:p w14:paraId="33E70D59" w14:textId="77777777" w:rsidR="0042226B" w:rsidRPr="0042226B" w:rsidRDefault="0042226B" w:rsidP="0042226B">
      <w:pPr>
        <w:rPr>
          <w:noProof/>
          <w:lang w:val="en-GB"/>
        </w:rPr>
      </w:pPr>
      <w:r w:rsidRPr="0042226B">
        <w:rPr>
          <w:b/>
          <w:noProof/>
          <w:lang w:val="en-GB"/>
        </w:rPr>
        <w:t>CAPEX Model:</w:t>
      </w:r>
      <w:r w:rsidRPr="0042226B">
        <w:rPr>
          <w:noProof/>
          <w:lang w:val="en-GB"/>
        </w:rPr>
        <w:t xml:space="preserve"> Mobile Operator or Tower Company invests CAPEX of their own to rollout the renewable solution.</w:t>
      </w:r>
    </w:p>
    <w:p w14:paraId="41F7D5D7" w14:textId="77777777" w:rsidR="0042226B" w:rsidRPr="0042226B" w:rsidRDefault="0042226B" w:rsidP="0042226B">
      <w:pPr>
        <w:rPr>
          <w:noProof/>
          <w:lang w:val="en-GB"/>
        </w:rPr>
      </w:pPr>
      <w:r w:rsidRPr="0042226B">
        <w:rPr>
          <w:b/>
          <w:noProof/>
          <w:lang w:val="en-GB"/>
        </w:rPr>
        <w:t>OPEX Model:</w:t>
      </w:r>
      <w:r w:rsidRPr="0042226B">
        <w:rPr>
          <w:noProof/>
          <w:lang w:val="en-GB"/>
        </w:rPr>
        <w:t xml:space="preserve"> A Renewable ESCO invests CAPEX to generator power at site level and sells power to Mobile Operator or Tower Company.</w:t>
      </w:r>
    </w:p>
    <w:p w14:paraId="5BD37005" w14:textId="77777777" w:rsidR="0042226B" w:rsidRPr="0042226B" w:rsidRDefault="0042226B" w:rsidP="0042226B">
      <w:pPr>
        <w:rPr>
          <w:noProof/>
          <w:lang w:val="en-GB"/>
        </w:rPr>
      </w:pPr>
      <w:r w:rsidRPr="0042226B">
        <w:rPr>
          <w:b/>
          <w:noProof/>
          <w:lang w:val="en-GB"/>
        </w:rPr>
        <w:t>Tenancy Ratio:</w:t>
      </w:r>
      <w:r w:rsidRPr="0042226B">
        <w:rPr>
          <w:noProof/>
          <w:lang w:val="en-GB"/>
        </w:rPr>
        <w:t xml:space="preserve"> A tenancy ratio is expressed as a fraction of the total number of operators sharing towers/total number of sites present.</w:t>
      </w:r>
    </w:p>
    <w:p w14:paraId="597D64A1" w14:textId="77777777" w:rsidR="0042226B" w:rsidRPr="0042226B" w:rsidRDefault="0042226B" w:rsidP="0042226B">
      <w:pPr>
        <w:rPr>
          <w:noProof/>
          <w:lang w:val="en-GB"/>
        </w:rPr>
      </w:pPr>
      <w:r w:rsidRPr="0042226B">
        <w:rPr>
          <w:b/>
          <w:noProof/>
          <w:lang w:val="en-GB"/>
        </w:rPr>
        <w:t xml:space="preserve">Off-grid site: </w:t>
      </w:r>
      <w:r w:rsidRPr="0042226B">
        <w:rPr>
          <w:noProof/>
          <w:lang w:val="en-GB"/>
        </w:rPr>
        <w:t>Telecom Base Station Site which is NOT connected to the commercial Grid power supply</w:t>
      </w:r>
    </w:p>
    <w:p w14:paraId="3A8A5525" w14:textId="77777777" w:rsidR="0042226B" w:rsidRPr="0042226B" w:rsidRDefault="0042226B" w:rsidP="0042226B">
      <w:pPr>
        <w:rPr>
          <w:b/>
          <w:noProof/>
          <w:lang w:val="en-GB"/>
        </w:rPr>
      </w:pPr>
      <w:r w:rsidRPr="0042226B">
        <w:rPr>
          <w:b/>
          <w:noProof/>
          <w:lang w:val="en-GB"/>
        </w:rPr>
        <w:t xml:space="preserve">On-grid site: </w:t>
      </w:r>
      <w:r w:rsidRPr="0042226B">
        <w:rPr>
          <w:noProof/>
          <w:lang w:val="en-GB"/>
        </w:rPr>
        <w:t>Telecom Base Station Site which is connected to the commercial Grid power supply</w:t>
      </w:r>
      <w:r w:rsidRPr="0042226B">
        <w:rPr>
          <w:b/>
          <w:noProof/>
          <w:lang w:val="en-GB"/>
        </w:rPr>
        <w:t xml:space="preserve"> </w:t>
      </w:r>
    </w:p>
    <w:p w14:paraId="259B9013" w14:textId="582161A8" w:rsidR="00DC481C" w:rsidRPr="00DC481C" w:rsidRDefault="00DC481C" w:rsidP="0042226B">
      <w:pPr>
        <w:rPr>
          <w:noProof/>
          <w:lang w:val="en-GB"/>
        </w:rPr>
      </w:pPr>
      <w:r>
        <w:rPr>
          <w:b/>
          <w:noProof/>
          <w:lang w:val="en-GB"/>
        </w:rPr>
        <w:t xml:space="preserve">Grid: </w:t>
      </w:r>
      <w:r>
        <w:rPr>
          <w:noProof/>
          <w:lang w:val="en-GB"/>
        </w:rPr>
        <w:t>Electricity Utility Grid</w:t>
      </w:r>
    </w:p>
    <w:p w14:paraId="67F1526B" w14:textId="77777777" w:rsidR="0042226B" w:rsidRPr="0042226B" w:rsidRDefault="0042226B" w:rsidP="0042226B">
      <w:pPr>
        <w:rPr>
          <w:noProof/>
          <w:lang w:val="en-GB"/>
        </w:rPr>
      </w:pPr>
      <w:r w:rsidRPr="0042226B">
        <w:rPr>
          <w:b/>
          <w:noProof/>
          <w:lang w:val="en-GB"/>
        </w:rPr>
        <w:t xml:space="preserve">DG: </w:t>
      </w:r>
      <w:r w:rsidRPr="0042226B">
        <w:rPr>
          <w:noProof/>
          <w:lang w:val="en-GB"/>
        </w:rPr>
        <w:t>Diesel Generator</w:t>
      </w:r>
    </w:p>
    <w:p w14:paraId="2FF3B4E1" w14:textId="77777777" w:rsidR="0042226B" w:rsidRPr="0042226B" w:rsidRDefault="0042226B" w:rsidP="0042226B">
      <w:pPr>
        <w:rPr>
          <w:noProof/>
          <w:lang w:val="en-GB"/>
        </w:rPr>
      </w:pPr>
      <w:r w:rsidRPr="0042226B">
        <w:rPr>
          <w:b/>
          <w:noProof/>
          <w:lang w:val="en-GB"/>
        </w:rPr>
        <w:t>IRR:</w:t>
      </w:r>
      <w:r w:rsidRPr="0042226B">
        <w:rPr>
          <w:noProof/>
          <w:lang w:val="en-GB"/>
        </w:rPr>
        <w:t xml:space="preserve"> Internal Rate of Return is the Rate of Return of an Investment.</w:t>
      </w:r>
    </w:p>
    <w:p w14:paraId="563D0E43" w14:textId="150F368A" w:rsidR="003E3D6C" w:rsidRPr="003E3D6C" w:rsidRDefault="003E3D6C" w:rsidP="0042226B">
      <w:pPr>
        <w:rPr>
          <w:noProof/>
          <w:lang w:val="en-GB"/>
        </w:rPr>
      </w:pPr>
      <w:r>
        <w:rPr>
          <w:b/>
          <w:noProof/>
          <w:lang w:val="en-GB"/>
        </w:rPr>
        <w:t>TCO:</w:t>
      </w:r>
      <w:r>
        <w:rPr>
          <w:noProof/>
          <w:lang w:val="en-GB"/>
        </w:rPr>
        <w:t xml:space="preserve"> Total Cost of Ownership for understanding the life time cost of a power system</w:t>
      </w:r>
    </w:p>
    <w:p w14:paraId="5AD96AC1" w14:textId="1517CAED" w:rsidR="003E3D6C" w:rsidRDefault="001D5F2A" w:rsidP="0042226B">
      <w:pPr>
        <w:rPr>
          <w:noProof/>
          <w:lang w:val="en-GB"/>
        </w:rPr>
      </w:pPr>
      <w:r>
        <w:rPr>
          <w:b/>
          <w:noProof/>
          <w:lang w:val="en-GB"/>
        </w:rPr>
        <w:t xml:space="preserve">OPEX: </w:t>
      </w:r>
      <w:r>
        <w:rPr>
          <w:noProof/>
          <w:lang w:val="en-GB"/>
        </w:rPr>
        <w:t>Operational Expenditure</w:t>
      </w:r>
    </w:p>
    <w:p w14:paraId="1F2622F5" w14:textId="77B18DD9" w:rsidR="001D5F2A" w:rsidRDefault="001D5F2A" w:rsidP="0042226B">
      <w:pPr>
        <w:rPr>
          <w:noProof/>
          <w:lang w:val="en-GB"/>
        </w:rPr>
      </w:pPr>
      <w:r w:rsidRPr="001D5F2A">
        <w:rPr>
          <w:b/>
          <w:noProof/>
          <w:lang w:val="en-GB"/>
        </w:rPr>
        <w:t>CAPEX</w:t>
      </w:r>
      <w:r>
        <w:rPr>
          <w:b/>
          <w:noProof/>
          <w:lang w:val="en-GB"/>
        </w:rPr>
        <w:t xml:space="preserve">: </w:t>
      </w:r>
      <w:r>
        <w:rPr>
          <w:noProof/>
          <w:lang w:val="en-GB"/>
        </w:rPr>
        <w:t>Capital Expenditure</w:t>
      </w:r>
    </w:p>
    <w:p w14:paraId="22281B71" w14:textId="22C03057" w:rsidR="001D5F2A" w:rsidRDefault="001D5F2A" w:rsidP="0042226B">
      <w:pPr>
        <w:rPr>
          <w:noProof/>
          <w:lang w:val="en-GB"/>
        </w:rPr>
      </w:pPr>
      <w:r w:rsidRPr="001D5F2A">
        <w:rPr>
          <w:b/>
          <w:noProof/>
          <w:lang w:val="en-GB"/>
        </w:rPr>
        <w:t>ROI</w:t>
      </w:r>
      <w:r>
        <w:rPr>
          <w:b/>
          <w:noProof/>
          <w:lang w:val="en-GB"/>
        </w:rPr>
        <w:t xml:space="preserve">: </w:t>
      </w:r>
      <w:r>
        <w:rPr>
          <w:noProof/>
          <w:lang w:val="en-GB"/>
        </w:rPr>
        <w:t>Return on Investment</w:t>
      </w:r>
    </w:p>
    <w:p w14:paraId="6131FC83" w14:textId="77777777" w:rsidR="00BD1075" w:rsidRDefault="00BD1075" w:rsidP="00BD1075">
      <w:pPr>
        <w:rPr>
          <w:noProof/>
          <w:lang w:val="en-GB"/>
        </w:rPr>
      </w:pPr>
      <w:r>
        <w:rPr>
          <w:b/>
          <w:noProof/>
          <w:lang w:val="en-GB"/>
        </w:rPr>
        <w:t>kWh</w:t>
      </w:r>
      <w:r w:rsidRPr="0042226B">
        <w:rPr>
          <w:b/>
          <w:noProof/>
          <w:lang w:val="en-GB"/>
        </w:rPr>
        <w:t xml:space="preserve">: </w:t>
      </w:r>
      <w:r>
        <w:rPr>
          <w:noProof/>
          <w:lang w:val="en-GB"/>
        </w:rPr>
        <w:t>Kilo Watt Hour</w:t>
      </w:r>
    </w:p>
    <w:p w14:paraId="79EF0223" w14:textId="063B59E1" w:rsidR="00BD1075" w:rsidRDefault="00BD1075" w:rsidP="0042226B">
      <w:r>
        <w:rPr>
          <w:b/>
          <w:noProof/>
          <w:lang w:val="en-GB"/>
        </w:rPr>
        <w:t xml:space="preserve">Power Factor: </w:t>
      </w:r>
      <w:r>
        <w:t xml:space="preserve">The ratio of the actual electrical power dissipated by an AC circuit to the product of the r.m.s. </w:t>
      </w:r>
      <w:proofErr w:type="gramStart"/>
      <w:r>
        <w:t>values</w:t>
      </w:r>
      <w:proofErr w:type="gramEnd"/>
      <w:r>
        <w:t xml:space="preserve"> of current and voltage</w:t>
      </w:r>
    </w:p>
    <w:p w14:paraId="124957F6" w14:textId="03967427" w:rsidR="001D5F2A" w:rsidRDefault="00CD25D3" w:rsidP="0042226B">
      <w:pPr>
        <w:rPr>
          <w:noProof/>
          <w:lang w:val="en-GB"/>
        </w:rPr>
      </w:pPr>
      <w:r>
        <w:rPr>
          <w:b/>
          <w:noProof/>
          <w:lang w:val="en-GB"/>
        </w:rPr>
        <w:t xml:space="preserve">GHG: </w:t>
      </w:r>
      <w:r>
        <w:rPr>
          <w:noProof/>
          <w:lang w:val="en-GB"/>
        </w:rPr>
        <w:t>Green House Gas</w:t>
      </w:r>
      <w:r w:rsidR="009E4492">
        <w:rPr>
          <w:noProof/>
          <w:lang w:val="en-GB"/>
        </w:rPr>
        <w:t xml:space="preserve"> (CO2)</w:t>
      </w:r>
    </w:p>
    <w:p w14:paraId="4905EE5E" w14:textId="77777777" w:rsidR="009E4492" w:rsidRDefault="009E4492" w:rsidP="0042226B">
      <w:pPr>
        <w:rPr>
          <w:noProof/>
          <w:lang w:val="en-GB"/>
        </w:rPr>
      </w:pPr>
    </w:p>
    <w:p w14:paraId="5A7426A2" w14:textId="77777777" w:rsidR="00CD25D3" w:rsidRPr="00CD25D3" w:rsidRDefault="00CD25D3" w:rsidP="0042226B">
      <w:pPr>
        <w:rPr>
          <w:noProof/>
          <w:lang w:val="en-GB"/>
        </w:rPr>
      </w:pPr>
    </w:p>
    <w:p w14:paraId="7D33E11C" w14:textId="77777777" w:rsidR="0042226B" w:rsidRDefault="0042226B">
      <w:pPr>
        <w:rPr>
          <w:noProof/>
        </w:rPr>
      </w:pPr>
    </w:p>
    <w:p w14:paraId="1AA03CA3" w14:textId="77777777" w:rsidR="0062767E" w:rsidRDefault="0062767E" w:rsidP="00EE0E45">
      <w:pPr>
        <w:pStyle w:val="Heading1"/>
      </w:pPr>
    </w:p>
    <w:p w14:paraId="7644E884" w14:textId="77777777" w:rsidR="0062767E" w:rsidRDefault="0062767E">
      <w:pPr>
        <w:spacing w:line="240" w:lineRule="auto"/>
        <w:jc w:val="left"/>
        <w:rPr>
          <w:rFonts w:eastAsiaTheme="majorEastAsia" w:cstheme="majorBidi"/>
          <w:b/>
          <w:bCs/>
          <w:color w:val="AF1613"/>
          <w:sz w:val="36"/>
          <w:szCs w:val="32"/>
          <w:bdr w:val="nil"/>
        </w:rPr>
      </w:pPr>
      <w:r>
        <w:br w:type="page"/>
      </w:r>
    </w:p>
    <w:p w14:paraId="4345767D" w14:textId="5ADF68FC" w:rsidR="00AC04B8" w:rsidRDefault="00AC04B8" w:rsidP="00DC164C">
      <w:pPr>
        <w:pStyle w:val="Heading1"/>
      </w:pPr>
      <w:bookmarkStart w:id="4" w:name="_Toc393749890"/>
      <w:r>
        <w:lastRenderedPageBreak/>
        <w:t>Introduction</w:t>
      </w:r>
      <w:bookmarkEnd w:id="4"/>
    </w:p>
    <w:p w14:paraId="0FCD1E25" w14:textId="03C14D6B" w:rsidR="00305EE3" w:rsidRDefault="0080067A" w:rsidP="00857327">
      <w:pPr>
        <w:pStyle w:val="Heading2"/>
      </w:pPr>
      <w:bookmarkStart w:id="5" w:name="_Toc393749891"/>
      <w:r>
        <w:t>Why consider green power for telecoms?</w:t>
      </w:r>
      <w:bookmarkEnd w:id="5"/>
    </w:p>
    <w:p w14:paraId="432633F3" w14:textId="7224278B" w:rsidR="000D1306" w:rsidRDefault="000A6F89" w:rsidP="00305EE3">
      <w:r>
        <w:t xml:space="preserve">Energy provision is a critical aspect of telecom network operations and energy constitutes as high as 60% of the total network OPEX. With a requirement of 99.95% benchmark uptime, telecom networks must be powered up 24x7 throughout the year. </w:t>
      </w:r>
      <w:r w:rsidR="00FC0DED">
        <w:t xml:space="preserve">Therefore, electricity supply and grid infrastructure play a very vital role in the day-to-day operations of an MNO. </w:t>
      </w:r>
    </w:p>
    <w:p w14:paraId="700DF6DB" w14:textId="2A711538" w:rsidR="00375960" w:rsidRDefault="00375960" w:rsidP="00305EE3">
      <w:r>
        <w:rPr>
          <w:noProof/>
        </w:rPr>
        <w:drawing>
          <wp:inline distT="0" distB="0" distL="0" distR="0" wp14:anchorId="1C828DE4" wp14:editId="468654D4">
            <wp:extent cx="5515610" cy="1343025"/>
            <wp:effectExtent l="0" t="0" r="889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15610" cy="1343025"/>
                    </a:xfrm>
                    <a:prstGeom prst="rect">
                      <a:avLst/>
                    </a:prstGeom>
                    <a:noFill/>
                  </pic:spPr>
                </pic:pic>
              </a:graphicData>
            </a:graphic>
          </wp:inline>
        </w:drawing>
      </w:r>
    </w:p>
    <w:p w14:paraId="16978370" w14:textId="1B614D36" w:rsidR="000A6F89" w:rsidRDefault="000D1306" w:rsidP="00305EE3">
      <w:r>
        <w:t xml:space="preserve">However, the MNOs in developing countries face many challenges in powering up their network in a cost effective and efficient manner. The below are some of the key reasons for the power problems in telecoms. </w:t>
      </w:r>
    </w:p>
    <w:p w14:paraId="016E32BB" w14:textId="2D32BBAA" w:rsidR="0080067A" w:rsidRDefault="00E2384D" w:rsidP="00F230F4">
      <w:pPr>
        <w:pStyle w:val="Heading3"/>
      </w:pPr>
      <w:bookmarkStart w:id="6" w:name="_Toc393749892"/>
      <w:r>
        <w:t xml:space="preserve">Limited </w:t>
      </w:r>
      <w:r w:rsidR="0080067A">
        <w:t>Grid</w:t>
      </w:r>
      <w:r>
        <w:t xml:space="preserve"> power</w:t>
      </w:r>
      <w:r w:rsidR="0080067A">
        <w:t xml:space="preserve"> </w:t>
      </w:r>
      <w:r>
        <w:t>infrastructure</w:t>
      </w:r>
      <w:bookmarkEnd w:id="6"/>
    </w:p>
    <w:p w14:paraId="4D519F53" w14:textId="52DCB8AF" w:rsidR="000A6F89" w:rsidRDefault="000A6F89" w:rsidP="0080067A">
      <w:r>
        <w:t>The reach and spread of grid power infrastructure in the developing world is poor leading to many telecom sites being deployed in areas with</w:t>
      </w:r>
      <w:r w:rsidR="00677B80">
        <w:t>out</w:t>
      </w:r>
      <w:r>
        <w:t xml:space="preserve"> grid power.</w:t>
      </w:r>
      <w:r w:rsidR="000D1306">
        <w:t xml:space="preserve"> The graph below shows the grid electrification rate of selected countries in Asia, Africa and Latin America.</w:t>
      </w:r>
    </w:p>
    <w:p w14:paraId="28B69FE4" w14:textId="6D49B680" w:rsidR="0080067A" w:rsidRDefault="00E2384D" w:rsidP="00F230F4">
      <w:pPr>
        <w:pStyle w:val="Heading3"/>
      </w:pPr>
      <w:bookmarkStart w:id="7" w:name="_Toc393749893"/>
      <w:r>
        <w:t xml:space="preserve">Unreliability of </w:t>
      </w:r>
      <w:r w:rsidR="0080067A">
        <w:t xml:space="preserve">Grid </w:t>
      </w:r>
      <w:r>
        <w:t>power</w:t>
      </w:r>
      <w:bookmarkEnd w:id="7"/>
    </w:p>
    <w:p w14:paraId="7562599A" w14:textId="31740897" w:rsidR="00785AED" w:rsidRDefault="000D1306" w:rsidP="00305EE3">
      <w:r>
        <w:t xml:space="preserve">Despite the grid connectivity (wherever there is grid), the MNOs </w:t>
      </w:r>
      <w:r w:rsidR="00E63104">
        <w:t xml:space="preserve">may </w:t>
      </w:r>
      <w:r>
        <w:t>face frequent power outages – both scheduled and unscheduled, due to shortages in power generation capacities unable to meet the demand. Also, the quality of power supply is a major concern in many countries, leaving the MNOs with very less amount of quality power supply to power up their telecom base station sites.</w:t>
      </w:r>
    </w:p>
    <w:p w14:paraId="4F70A0CB" w14:textId="1DD5CDDB" w:rsidR="0080067A" w:rsidRDefault="0080067A" w:rsidP="00F230F4">
      <w:pPr>
        <w:pStyle w:val="Heading3"/>
      </w:pPr>
      <w:bookmarkStart w:id="8" w:name="_Toc393749894"/>
      <w:r>
        <w:t>Diesel is expensive and dirty</w:t>
      </w:r>
      <w:bookmarkEnd w:id="8"/>
    </w:p>
    <w:p w14:paraId="1FE67200" w14:textId="5AEC7A9B" w:rsidR="00C973BA" w:rsidRDefault="00735092" w:rsidP="00305EE3">
      <w:r>
        <w:t>T</w:t>
      </w:r>
      <w:r w:rsidR="00785AED">
        <w:t xml:space="preserve">he </w:t>
      </w:r>
      <w:r>
        <w:t xml:space="preserve">limited reach of </w:t>
      </w:r>
      <w:r w:rsidR="00785AED">
        <w:t>grid</w:t>
      </w:r>
      <w:r>
        <w:t xml:space="preserve"> infrastructure</w:t>
      </w:r>
      <w:r w:rsidR="00785AED">
        <w:t xml:space="preserve"> and </w:t>
      </w:r>
      <w:r>
        <w:t xml:space="preserve">the </w:t>
      </w:r>
      <w:r w:rsidR="00785AED">
        <w:t>unreliable power supply</w:t>
      </w:r>
      <w:r>
        <w:t>, where there is grid,</w:t>
      </w:r>
      <w:r w:rsidR="00785AED">
        <w:t xml:space="preserve"> have forced the MNOs to rely on diesel generators to power up their network. MNOs rely on diesel generators as both primary and backup power source</w:t>
      </w:r>
      <w:r w:rsidR="00E63104">
        <w:t>s</w:t>
      </w:r>
      <w:r w:rsidR="00785AED">
        <w:t xml:space="preserve"> depending on the grid and power supply situation. In off-grid areas DGs act as the primary </w:t>
      </w:r>
      <w:r w:rsidR="00B1261A">
        <w:t>source and in unreliable-grid areas, DGs are used as backup to substitute for grid power outages.</w:t>
      </w:r>
      <w:r w:rsidR="002F7FBB">
        <w:t xml:space="preserve"> </w:t>
      </w:r>
      <w:r w:rsidR="00C973BA">
        <w:t>However, diesel based power is very expensive and dirty for the environment.</w:t>
      </w:r>
    </w:p>
    <w:p w14:paraId="1B0EFB21" w14:textId="77777777" w:rsidR="00956D6C" w:rsidRDefault="00956D6C" w:rsidP="00305EE3"/>
    <w:p w14:paraId="550E3A0C" w14:textId="71DD4674" w:rsidR="0080067A" w:rsidRDefault="00735092" w:rsidP="00305EE3">
      <w:r>
        <w:t xml:space="preserve">In the above context, MNOs have looked at alternative green power solutions for their feasibility to reduce energy OPEX and benefit the environment by reducing CO2 emissions. With their </w:t>
      </w:r>
      <w:r w:rsidR="0080067A">
        <w:t>sustainable business</w:t>
      </w:r>
      <w:r>
        <w:t xml:space="preserve"> strategies, </w:t>
      </w:r>
      <w:r w:rsidR="009B0034">
        <w:t xml:space="preserve">reduction of environmental impact from business operations has become a top priority for </w:t>
      </w:r>
      <w:r>
        <w:t>many MNOs</w:t>
      </w:r>
      <w:r w:rsidR="009B0034">
        <w:t>.</w:t>
      </w:r>
      <w:r>
        <w:t xml:space="preserve"> </w:t>
      </w:r>
      <w:r w:rsidR="009B0034">
        <w:t>Through their energy efficiency and g</w:t>
      </w:r>
      <w:r>
        <w:t xml:space="preserve">reen power </w:t>
      </w:r>
      <w:r w:rsidR="009B0034">
        <w:t>initiatives, MNOs have been making slow but steady progress towards greener networks.</w:t>
      </w:r>
    </w:p>
    <w:p w14:paraId="7AC7F9AB" w14:textId="77777777" w:rsidR="002F7FBB" w:rsidRDefault="002F7FBB" w:rsidP="00305EE3"/>
    <w:p w14:paraId="715AF062" w14:textId="77777777" w:rsidR="00AC68C7" w:rsidRDefault="00870F88" w:rsidP="00305EE3">
      <w:r>
        <w:lastRenderedPageBreak/>
        <w:t xml:space="preserve">However, the implementation of green power alternatives is far from reaching its true potential. </w:t>
      </w:r>
      <w:r w:rsidR="00520944">
        <w:t xml:space="preserve">There are </w:t>
      </w:r>
      <w:r w:rsidR="00171395">
        <w:t>320,000 off-grid and over 7</w:t>
      </w:r>
      <w:r w:rsidR="00520944">
        <w:t>00,000 unreliable-grid telecom sites in the world</w:t>
      </w:r>
      <w:r w:rsidR="00171395">
        <w:t xml:space="preserve"> today (2014)</w:t>
      </w:r>
      <w:r w:rsidR="00171395">
        <w:rPr>
          <w:rStyle w:val="FootnoteReference"/>
        </w:rPr>
        <w:footnoteReference w:id="1"/>
      </w:r>
      <w:r w:rsidR="00520944">
        <w:t xml:space="preserve">. </w:t>
      </w:r>
      <w:r w:rsidR="00171395" w:rsidRPr="00171395">
        <w:t>The off-grid and bad-grid network globally is estimated to reach a total of approximately 1.2 million tower sites by 2020 from the current size of 1 million off-grid and bad-grid towers in 2014. Therefore, The MNOs and Tower</w:t>
      </w:r>
      <w:r w:rsidR="00F540B2">
        <w:t xml:space="preserve"> </w:t>
      </w:r>
      <w:r w:rsidR="00171395" w:rsidRPr="00171395">
        <w:t>Cos will deploy an additional 160,000 off-grid and bad-grid tower sites by 2020.</w:t>
      </w:r>
      <w:r w:rsidR="00F540B2">
        <w:t xml:space="preserve"> </w:t>
      </w:r>
    </w:p>
    <w:p w14:paraId="52E2B4D5" w14:textId="32511732" w:rsidR="00FE5A4A" w:rsidRDefault="00FE5A4A" w:rsidP="00FE5A4A">
      <w:pPr>
        <w:pStyle w:val="Caption"/>
      </w:pPr>
      <w:bookmarkStart w:id="9" w:name="_Toc393749913"/>
      <w:r>
        <w:t xml:space="preserve">Figure </w:t>
      </w:r>
      <w:fldSimple w:instr=" SEQ Figure \* ARABIC ">
        <w:r w:rsidR="00B34814">
          <w:rPr>
            <w:noProof/>
          </w:rPr>
          <w:t>1</w:t>
        </w:r>
      </w:fldSimple>
      <w:r>
        <w:t xml:space="preserve">: Global Off-grid </w:t>
      </w:r>
      <w:r w:rsidR="00B22B90">
        <w:t>and Unreliable-grid Mobile Network: Current Size and Future Growth</w:t>
      </w:r>
      <w:bookmarkEnd w:id="9"/>
    </w:p>
    <w:p w14:paraId="3C97360C" w14:textId="50AEC425" w:rsidR="009108E0" w:rsidRDefault="009108E0" w:rsidP="00305EE3">
      <w:r w:rsidRPr="009108E0">
        <w:rPr>
          <w:rFonts w:ascii="Calibri" w:eastAsia="Calibri" w:hAnsi="Calibri" w:cs="Calibri"/>
          <w:noProof/>
          <w:color w:val="000000"/>
          <w:szCs w:val="20"/>
        </w:rPr>
        <w:drawing>
          <wp:inline distT="0" distB="0" distL="0" distR="0" wp14:anchorId="5BA7ACE9" wp14:editId="3870D528">
            <wp:extent cx="5486400" cy="283479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2834793"/>
                    </a:xfrm>
                    <a:prstGeom prst="rect">
                      <a:avLst/>
                    </a:prstGeom>
                    <a:noFill/>
                  </pic:spPr>
                </pic:pic>
              </a:graphicData>
            </a:graphic>
          </wp:inline>
        </w:drawing>
      </w:r>
    </w:p>
    <w:p w14:paraId="3F1C0970" w14:textId="77777777" w:rsidR="00AC68C7" w:rsidRDefault="00AC68C7" w:rsidP="00305EE3"/>
    <w:p w14:paraId="5CCEC566" w14:textId="2A0CBAA0" w:rsidR="00171395" w:rsidRDefault="009108E0" w:rsidP="00305EE3">
      <w:r w:rsidRPr="009108E0">
        <w:rPr>
          <w:lang w:val="en-GB"/>
        </w:rPr>
        <w:t xml:space="preserve">The major driver of the estimated growth in off-grid and bad-grid towers is the expected expansion of mobile networks into rural regions in Africa and Asia, large parts of which face limited access to reliable </w:t>
      </w:r>
      <w:r>
        <w:rPr>
          <w:lang w:val="en-GB"/>
        </w:rPr>
        <w:t xml:space="preserve">grid </w:t>
      </w:r>
      <w:r w:rsidRPr="009108E0">
        <w:rPr>
          <w:lang w:val="en-GB"/>
        </w:rPr>
        <w:t>electricity</w:t>
      </w:r>
      <w:r>
        <w:rPr>
          <w:lang w:val="en-GB"/>
        </w:rPr>
        <w:t xml:space="preserve"> and poor grid power infrastructure</w:t>
      </w:r>
      <w:r w:rsidRPr="009108E0">
        <w:rPr>
          <w:lang w:val="en-GB"/>
        </w:rPr>
        <w:t>.</w:t>
      </w:r>
      <w:r>
        <w:rPr>
          <w:lang w:val="en-GB"/>
        </w:rPr>
        <w:t xml:space="preserve"> Therefore, </w:t>
      </w:r>
      <w:r>
        <w:t>g</w:t>
      </w:r>
      <w:r w:rsidR="00F540B2">
        <w:t>reen alternatives for telecom</w:t>
      </w:r>
      <w:r>
        <w:t xml:space="preserve"> power</w:t>
      </w:r>
      <w:r w:rsidR="00F540B2">
        <w:t xml:space="preserve"> present a huge opportunity for MNOs and other stakeholders.</w:t>
      </w:r>
    </w:p>
    <w:p w14:paraId="17692A29" w14:textId="77777777" w:rsidR="00520944" w:rsidRDefault="00520944" w:rsidP="00305EE3"/>
    <w:p w14:paraId="38832D2E" w14:textId="002B5E3F" w:rsidR="00520944" w:rsidRDefault="00520944" w:rsidP="00305EE3">
      <w:r>
        <w:t>This technical paper will focus on the aspects of analyzing the technical and economic feasibility of green power and the important parameters as well as clear approach to understanding the strategy and benefits of green power for telecoms.</w:t>
      </w:r>
    </w:p>
    <w:p w14:paraId="1A45A46C" w14:textId="77777777" w:rsidR="0073312D" w:rsidRDefault="0073312D" w:rsidP="00305EE3"/>
    <w:p w14:paraId="2E0D63BE" w14:textId="77777777" w:rsidR="0073312D" w:rsidRDefault="0073312D">
      <w:pPr>
        <w:spacing w:line="240" w:lineRule="auto"/>
        <w:jc w:val="left"/>
        <w:rPr>
          <w:rFonts w:eastAsiaTheme="majorEastAsia" w:cstheme="majorBidi"/>
          <w:b/>
          <w:bCs/>
          <w:color w:val="71AC7A"/>
          <w:sz w:val="24"/>
          <w:szCs w:val="26"/>
          <w:bdr w:val="nil"/>
          <w:lang w:val="en-GB"/>
        </w:rPr>
      </w:pPr>
      <w:r>
        <w:br w:type="page"/>
      </w:r>
    </w:p>
    <w:p w14:paraId="5F344FDF" w14:textId="555997F9" w:rsidR="003860C6" w:rsidRDefault="003860C6" w:rsidP="003860C6">
      <w:pPr>
        <w:pStyle w:val="Heading2"/>
      </w:pPr>
      <w:bookmarkStart w:id="10" w:name="_Toc393749895"/>
      <w:r>
        <w:lastRenderedPageBreak/>
        <w:t>What is green power?</w:t>
      </w:r>
      <w:bookmarkEnd w:id="10"/>
    </w:p>
    <w:p w14:paraId="2E1B7154" w14:textId="77777777" w:rsidR="00375960" w:rsidRDefault="00375960" w:rsidP="003860C6">
      <w:r>
        <w:rPr>
          <w:noProof/>
        </w:rPr>
        <w:drawing>
          <wp:inline distT="0" distB="0" distL="0" distR="0" wp14:anchorId="17008492" wp14:editId="1DF35E44">
            <wp:extent cx="5515610" cy="135255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15610" cy="1352550"/>
                    </a:xfrm>
                    <a:prstGeom prst="rect">
                      <a:avLst/>
                    </a:prstGeom>
                    <a:noFill/>
                  </pic:spPr>
                </pic:pic>
              </a:graphicData>
            </a:graphic>
          </wp:inline>
        </w:drawing>
      </w:r>
    </w:p>
    <w:p w14:paraId="74E90975" w14:textId="6DD76BF8" w:rsidR="003860C6" w:rsidRDefault="003860C6" w:rsidP="003860C6">
      <w:r>
        <w:t>Green power</w:t>
      </w:r>
      <w:r w:rsidR="00E35558">
        <w:t xml:space="preserve"> technology</w:t>
      </w:r>
      <w:r>
        <w:t xml:space="preserve"> in </w:t>
      </w:r>
      <w:r w:rsidR="00E63104">
        <w:t xml:space="preserve">the </w:t>
      </w:r>
      <w:r>
        <w:t xml:space="preserve">mobile industry traditionally </w:t>
      </w:r>
      <w:r w:rsidR="00E35558">
        <w:t>refers to</w:t>
      </w:r>
      <w:r>
        <w:t xml:space="preserve"> a renewable energy source used to generate and supply power to a mobile base station site. The most commonly adopted green power sources in telecom include solar PV, wind turbines and hydrogen or methanol based fuel cells. The other renewable sources including biomass and micro (or Pico) </w:t>
      </w:r>
      <w:proofErr w:type="gramStart"/>
      <w:r>
        <w:t>hydro power</w:t>
      </w:r>
      <w:proofErr w:type="gramEnd"/>
      <w:r>
        <w:t xml:space="preserve"> generation are also being evaluated for telecom power and still in the early pilot stages of adoption.</w:t>
      </w:r>
    </w:p>
    <w:p w14:paraId="2B1CB97A" w14:textId="300ADC71" w:rsidR="003860C6" w:rsidRDefault="003860C6" w:rsidP="003860C6">
      <w:pPr>
        <w:rPr>
          <w:lang w:val="en-GB"/>
        </w:rPr>
      </w:pPr>
    </w:p>
    <w:p w14:paraId="08044D6C" w14:textId="2ECA703D" w:rsidR="003860C6" w:rsidRDefault="003860C6" w:rsidP="003860C6">
      <w:r>
        <w:t>The definition of green power has evolved from adoption of pure</w:t>
      </w:r>
      <w:r w:rsidR="00E35558">
        <w:t xml:space="preserve"> (100%)</w:t>
      </w:r>
      <w:r>
        <w:t xml:space="preserve"> renewable energy sources to a broader concept of adopting an approach to optimizing power systems, by reducing power requirements as well as reducing the dependence on fossil fuels, in an effort to drive efficient, greener and sustainable ways to power up the telecom base station sites. Therefore, energy efficiency has become an important aspect of green strategy for telecom operators.</w:t>
      </w:r>
    </w:p>
    <w:p w14:paraId="281AE261" w14:textId="15481A51" w:rsidR="003860C6" w:rsidRDefault="003860C6" w:rsidP="003860C6"/>
    <w:p w14:paraId="2A6B7B48" w14:textId="6C59683F" w:rsidR="003860C6" w:rsidRDefault="003860C6" w:rsidP="003860C6">
      <w:r>
        <w:t xml:space="preserve">The development of new energy storage technologies and performance improvements in traditional battery technologies have made a way for optimizing the existing power systems to be more efficient in utilizing the diesel generators (DGs), thereby reducing their use and consumption of diesel. Mobile operators have been aggressively adopting the DG-battery hybrid solutions to quickly reduce the dependence on diesel generators and consumption of diesel and hence realize quick </w:t>
      </w:r>
      <w:proofErr w:type="gramStart"/>
      <w:r>
        <w:t>short term</w:t>
      </w:r>
      <w:proofErr w:type="gramEnd"/>
      <w:r>
        <w:t xml:space="preserve"> savings in energy OPEX.</w:t>
      </w:r>
    </w:p>
    <w:p w14:paraId="78653D0A" w14:textId="77777777" w:rsidR="003860C6" w:rsidRDefault="003860C6" w:rsidP="003860C6"/>
    <w:p w14:paraId="6495C0A6" w14:textId="79E30572" w:rsidR="003860C6" w:rsidRDefault="003860C6" w:rsidP="00305EE3">
      <w:r>
        <w:t>Therefore, besides the adoption of renewable power sources, the various energy efficiency initiatives as well as the adoption battery hybrid solutions have become a great part of the overall green power strategy for mobile network operators.</w:t>
      </w:r>
    </w:p>
    <w:p w14:paraId="06EA42A9" w14:textId="77777777" w:rsidR="0073312D" w:rsidRDefault="0073312D">
      <w:pPr>
        <w:spacing w:line="240" w:lineRule="auto"/>
        <w:jc w:val="left"/>
        <w:rPr>
          <w:rFonts w:eastAsiaTheme="majorEastAsia" w:cstheme="majorBidi"/>
          <w:b/>
          <w:bCs/>
          <w:color w:val="71AC7A"/>
          <w:sz w:val="24"/>
          <w:szCs w:val="26"/>
          <w:bdr w:val="nil"/>
          <w:lang w:val="en-GB"/>
        </w:rPr>
      </w:pPr>
      <w:r>
        <w:br w:type="page"/>
      </w:r>
    </w:p>
    <w:p w14:paraId="128358EA" w14:textId="667617F7" w:rsidR="00B763CC" w:rsidRDefault="00B763CC" w:rsidP="00857327">
      <w:pPr>
        <w:pStyle w:val="Heading2"/>
      </w:pPr>
      <w:bookmarkStart w:id="11" w:name="_Toc393749896"/>
      <w:r>
        <w:lastRenderedPageBreak/>
        <w:t>How to go about green power?</w:t>
      </w:r>
      <w:bookmarkEnd w:id="11"/>
    </w:p>
    <w:p w14:paraId="5B8247B4" w14:textId="7445850D" w:rsidR="00A744CF" w:rsidRDefault="00A744CF" w:rsidP="00A3476C">
      <w:r>
        <w:rPr>
          <w:noProof/>
        </w:rPr>
        <w:drawing>
          <wp:inline distT="0" distB="0" distL="0" distR="0" wp14:anchorId="672B5222" wp14:editId="57C9D036">
            <wp:extent cx="5515610" cy="1343025"/>
            <wp:effectExtent l="0" t="0" r="88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5610" cy="1343025"/>
                    </a:xfrm>
                    <a:prstGeom prst="rect">
                      <a:avLst/>
                    </a:prstGeom>
                    <a:noFill/>
                  </pic:spPr>
                </pic:pic>
              </a:graphicData>
            </a:graphic>
          </wp:inline>
        </w:drawing>
      </w:r>
    </w:p>
    <w:p w14:paraId="33ADAB96" w14:textId="2151518C" w:rsidR="00A3476C" w:rsidRDefault="00B441B1" w:rsidP="00A3476C">
      <w:r>
        <w:t xml:space="preserve">Given the </w:t>
      </w:r>
      <w:r w:rsidR="00E949EB">
        <w:t xml:space="preserve">prevailing </w:t>
      </w:r>
      <w:r>
        <w:t>challenges</w:t>
      </w:r>
      <w:r w:rsidR="00E949EB">
        <w:t xml:space="preserve"> in powering telecoms</w:t>
      </w:r>
      <w:r>
        <w:t xml:space="preserve"> and the possible opportunity for green power telecoms,</w:t>
      </w:r>
      <w:r w:rsidR="0052131A">
        <w:t xml:space="preserve"> the MNOs need to </w:t>
      </w:r>
      <w:r>
        <w:t>analyze, understand and draft a strategy for adopting green power alternatives for telecom power.</w:t>
      </w:r>
    </w:p>
    <w:p w14:paraId="140649B3" w14:textId="2F212527" w:rsidR="00B441B1" w:rsidRDefault="00B441B1" w:rsidP="00A3476C"/>
    <w:p w14:paraId="2FAF2C9B" w14:textId="204C5D1D" w:rsidR="007D3A90" w:rsidRPr="00A3476C" w:rsidRDefault="004B68BA" w:rsidP="00A3476C">
      <w:r>
        <w:t xml:space="preserve">The strategy highly depends on the procurement approach and the energy provision business model adopted by the MNOs. </w:t>
      </w:r>
      <w:r w:rsidR="00DA7037">
        <w:t xml:space="preserve">The various aspects of the green strategy including the associated business models and their pros and cons </w:t>
      </w:r>
      <w:r w:rsidR="004D0C8F">
        <w:t>are</w:t>
      </w:r>
      <w:r w:rsidR="00DA7037">
        <w:t xml:space="preserve"> presented below. </w:t>
      </w:r>
    </w:p>
    <w:p w14:paraId="53F6BF08" w14:textId="0AEFF256" w:rsidR="00B763CC" w:rsidRDefault="00B763CC" w:rsidP="00F230F4">
      <w:pPr>
        <w:pStyle w:val="Heading3"/>
      </w:pPr>
      <w:bookmarkStart w:id="12" w:name="_Toc393749897"/>
      <w:r>
        <w:t>Strategy – Invest or Outsource?</w:t>
      </w:r>
      <w:bookmarkEnd w:id="12"/>
    </w:p>
    <w:p w14:paraId="7B9E3DDD" w14:textId="32307C00" w:rsidR="004244CE" w:rsidRDefault="00552F68" w:rsidP="00B763CC">
      <w:r>
        <w:rPr>
          <w:noProof/>
        </w:rPr>
        <w:drawing>
          <wp:anchor distT="0" distB="0" distL="114300" distR="114300" simplePos="0" relativeHeight="251658240" behindDoc="0" locked="0" layoutInCell="1" allowOverlap="1" wp14:anchorId="0C868D8D" wp14:editId="099DE42B">
            <wp:simplePos x="0" y="0"/>
            <wp:positionH relativeFrom="margin">
              <wp:posOffset>2890520</wp:posOffset>
            </wp:positionH>
            <wp:positionV relativeFrom="margin">
              <wp:posOffset>3381375</wp:posOffset>
            </wp:positionV>
            <wp:extent cx="2623820" cy="3533775"/>
            <wp:effectExtent l="0" t="0" r="5080" b="9525"/>
            <wp:wrapSquare wrapText="bothSides"/>
            <wp:docPr id="22" name="Picture 22" descr="C:\Users\satish.kumar\Dropbox\Madagascar - Site Visits\20121216_1019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tish.kumar\Dropbox\Madagascar - Site Visits\20121216_101908(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2623820" cy="3533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205A">
        <w:t xml:space="preserve">Traditionally, the </w:t>
      </w:r>
      <w:r w:rsidR="001E7771">
        <w:t>practice of energy provision in telecom is h</w:t>
      </w:r>
      <w:r w:rsidR="004F3851">
        <w:t>igh</w:t>
      </w:r>
      <w:r w:rsidR="001E7771">
        <w:t>ly driven by the low CAPEX approach.</w:t>
      </w:r>
      <w:r w:rsidR="00EE1936">
        <w:t xml:space="preserve"> </w:t>
      </w:r>
      <w:r w:rsidR="00B3205A">
        <w:t>Historically, the investments in energy efficiency and green power systems have been pushed down d</w:t>
      </w:r>
      <w:r w:rsidR="00EE1936">
        <w:t>ue to limited availability of capital and competing investment prior</w:t>
      </w:r>
      <w:r w:rsidR="00B3205A">
        <w:t xml:space="preserve">ities for MNOs </w:t>
      </w:r>
      <w:r w:rsidR="005B12DF">
        <w:t xml:space="preserve">including spectrum licenses, upgrade to new </w:t>
      </w:r>
      <w:r w:rsidR="00B3205A">
        <w:t xml:space="preserve">network </w:t>
      </w:r>
      <w:r w:rsidR="005B12DF">
        <w:t>technologies</w:t>
      </w:r>
      <w:r w:rsidR="00B3205A">
        <w:t xml:space="preserve"> etc</w:t>
      </w:r>
      <w:r w:rsidR="005B12DF">
        <w:t>.</w:t>
      </w:r>
    </w:p>
    <w:p w14:paraId="1016EF93" w14:textId="77777777" w:rsidR="00B3205A" w:rsidRDefault="00B3205A" w:rsidP="00B763CC"/>
    <w:p w14:paraId="3F584D22" w14:textId="7C27A4EE" w:rsidR="004244CE" w:rsidRDefault="00B3205A" w:rsidP="00B763CC">
      <w:r>
        <w:t xml:space="preserve">The low CAPEX approach </w:t>
      </w:r>
      <w:r w:rsidR="00096703">
        <w:t xml:space="preserve">is associated with a </w:t>
      </w:r>
      <w:r>
        <w:t>high</w:t>
      </w:r>
      <w:r w:rsidR="00096703">
        <w:t xml:space="preserve">er than </w:t>
      </w:r>
      <w:r w:rsidR="00C9712C">
        <w:t xml:space="preserve">possible </w:t>
      </w:r>
      <w:r w:rsidR="00096703">
        <w:t>optimum</w:t>
      </w:r>
      <w:r>
        <w:t xml:space="preserve"> OPEX</w:t>
      </w:r>
      <w:r w:rsidR="00096703">
        <w:t xml:space="preserve"> and is not sustainable in the long run</w:t>
      </w:r>
      <w:r>
        <w:t>.</w:t>
      </w:r>
      <w:r w:rsidR="00096703">
        <w:t xml:space="preserve"> The green power alternatives will present excellent opportunity for huge OPEX savings in a sustainable manner, however, require considerably higher upfront CAPEX. </w:t>
      </w:r>
    </w:p>
    <w:p w14:paraId="1FD1AEBA" w14:textId="77777777" w:rsidR="00096703" w:rsidRDefault="00096703" w:rsidP="00B763CC"/>
    <w:p w14:paraId="4A28CF0A" w14:textId="40DFAB37" w:rsidR="00096703" w:rsidRDefault="00002B64" w:rsidP="00B763CC">
      <w:r>
        <w:t>The MNO is presented with a choice to choose between investing in green power on its own and outsourcing the energy provision to a Tower Company or 3</w:t>
      </w:r>
      <w:r w:rsidRPr="00002B64">
        <w:rPr>
          <w:vertAlign w:val="superscript"/>
        </w:rPr>
        <w:t>rd</w:t>
      </w:r>
      <w:r>
        <w:t xml:space="preserve"> party Energy Service Company (ESCO).</w:t>
      </w:r>
      <w:r w:rsidR="00F541A4">
        <w:t xml:space="preserve"> The in-house model (or CAPEX model) will require huge capital outlay from MNOs to reap the benefits of investing in green power. However, the outsourced model (or ESCO model) would provide the MNOs with financial and operational benefits without investing in green power systems. The comparison of both approaches is presented below </w:t>
      </w:r>
    </w:p>
    <w:p w14:paraId="611583A6" w14:textId="77777777" w:rsidR="00E62B62" w:rsidRDefault="00E62B62" w:rsidP="00B763CC"/>
    <w:p w14:paraId="116863F4" w14:textId="77777777" w:rsidR="00E62B62" w:rsidRDefault="00E62B62" w:rsidP="00B763CC"/>
    <w:p w14:paraId="27F98F1A" w14:textId="4E25AA8A" w:rsidR="00CF22B5" w:rsidRPr="006C38C3" w:rsidRDefault="00D150E8" w:rsidP="002C124D">
      <w:pPr>
        <w:pStyle w:val="Caption"/>
      </w:pPr>
      <w:bookmarkStart w:id="13" w:name="_Toc393749924"/>
      <w:r>
        <w:lastRenderedPageBreak/>
        <w:t>Table</w:t>
      </w:r>
      <w:r w:rsidR="00CF22B5">
        <w:t xml:space="preserve"> </w:t>
      </w:r>
      <w:fldSimple w:instr=" SEQ Table \* ARABIC ">
        <w:r w:rsidR="00AE60B1">
          <w:rPr>
            <w:noProof/>
          </w:rPr>
          <w:t>1</w:t>
        </w:r>
      </w:fldSimple>
      <w:r w:rsidR="00CF22B5">
        <w:t>:</w:t>
      </w:r>
      <w:r w:rsidR="00CF22B5" w:rsidRPr="006C38C3">
        <w:t xml:space="preserve"> </w:t>
      </w:r>
      <w:r w:rsidR="00CF22B5">
        <w:t>Invest vs. Outsource</w:t>
      </w:r>
      <w:bookmarkEnd w:id="13"/>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701"/>
        <w:gridCol w:w="3704"/>
        <w:gridCol w:w="3465"/>
      </w:tblGrid>
      <w:tr w:rsidR="00CF22B5" w14:paraId="30FF3710" w14:textId="77777777" w:rsidTr="00CF22B5">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2BF3AEFD" w14:textId="77777777" w:rsidR="00CF22B5" w:rsidRDefault="00CF22B5" w:rsidP="00BB5577">
            <w:pPr>
              <w:jc w:val="center"/>
            </w:pPr>
          </w:p>
        </w:tc>
        <w:tc>
          <w:tcPr>
            <w:tcW w:w="20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3E8CF1E2" w14:textId="25F98E6B" w:rsidR="00CF22B5" w:rsidRPr="00BE6A26" w:rsidRDefault="00F541A4" w:rsidP="00F541A4">
            <w:pPr>
              <w:jc w:val="center"/>
              <w:rPr>
                <w:color w:val="FFFFFF" w:themeColor="background1"/>
              </w:rPr>
            </w:pPr>
            <w:r>
              <w:rPr>
                <w:color w:val="FFFFFF" w:themeColor="background1"/>
              </w:rPr>
              <w:t>CAPEX model (in-house)</w:t>
            </w:r>
          </w:p>
        </w:tc>
        <w:tc>
          <w:tcPr>
            <w:tcW w:w="1953" w:type="pct"/>
            <w:tcBorders>
              <w:top w:val="single" w:sz="4" w:space="0" w:color="FFFFFF" w:themeColor="background1"/>
              <w:left w:val="single" w:sz="4" w:space="0" w:color="FFFFFF" w:themeColor="background1"/>
              <w:bottom w:val="single" w:sz="4" w:space="0" w:color="FFFFFF" w:themeColor="background1"/>
              <w:right w:val="single" w:sz="4" w:space="0" w:color="A6A6A6" w:themeColor="background1" w:themeShade="A6"/>
            </w:tcBorders>
            <w:shd w:val="clear" w:color="auto" w:fill="71AC7A"/>
            <w:vAlign w:val="center"/>
          </w:tcPr>
          <w:p w14:paraId="6245F61A" w14:textId="14DD1F8E" w:rsidR="00CF22B5" w:rsidRPr="00BE6A26" w:rsidRDefault="00F541A4" w:rsidP="00F541A4">
            <w:pPr>
              <w:jc w:val="center"/>
              <w:rPr>
                <w:color w:val="FFFFFF" w:themeColor="background1"/>
              </w:rPr>
            </w:pPr>
            <w:r>
              <w:rPr>
                <w:color w:val="FFFFFF" w:themeColor="background1"/>
              </w:rPr>
              <w:t>ESCO model (o</w:t>
            </w:r>
            <w:r w:rsidR="00CF22B5">
              <w:rPr>
                <w:color w:val="FFFFFF" w:themeColor="background1"/>
              </w:rPr>
              <w:t>utsource</w:t>
            </w:r>
            <w:r>
              <w:rPr>
                <w:color w:val="FFFFFF" w:themeColor="background1"/>
              </w:rPr>
              <w:t>d)</w:t>
            </w:r>
          </w:p>
        </w:tc>
      </w:tr>
      <w:tr w:rsidR="00CF22B5" w14:paraId="4D139567" w14:textId="77777777" w:rsidTr="00677214">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49F01EB4" w14:textId="497FA06A" w:rsidR="00CF22B5" w:rsidRPr="00BE6A26" w:rsidRDefault="00CF22B5" w:rsidP="00BB5577">
            <w:pPr>
              <w:jc w:val="left"/>
              <w:rPr>
                <w:color w:val="FFFFFF" w:themeColor="background1"/>
              </w:rPr>
            </w:pPr>
            <w:r>
              <w:rPr>
                <w:color w:val="FFFFFF" w:themeColor="background1"/>
              </w:rPr>
              <w:t>Financial</w:t>
            </w:r>
          </w:p>
        </w:tc>
        <w:tc>
          <w:tcPr>
            <w:tcW w:w="2088" w:type="pct"/>
            <w:tcBorders>
              <w:top w:val="single" w:sz="4" w:space="0" w:color="FFFFFF" w:themeColor="background1"/>
              <w:left w:val="single" w:sz="4" w:space="0" w:color="FFFFFF" w:themeColor="background1"/>
              <w:bottom w:val="single" w:sz="4" w:space="0" w:color="A6A6A6" w:themeColor="background1" w:themeShade="A6"/>
              <w:right w:val="single" w:sz="4" w:space="0" w:color="A6A6A6" w:themeColor="background1" w:themeShade="A6"/>
            </w:tcBorders>
          </w:tcPr>
          <w:p w14:paraId="1F8D4274" w14:textId="5EA6D6A5" w:rsidR="00CF22B5" w:rsidRDefault="00CF22B5" w:rsidP="00677214">
            <w:pPr>
              <w:pStyle w:val="ListParagraph"/>
              <w:numPr>
                <w:ilvl w:val="0"/>
                <w:numId w:val="6"/>
              </w:numPr>
              <w:jc w:val="left"/>
            </w:pPr>
            <w:r>
              <w:t>Operator has to invest all CAPEX either from its own source or from capital market; therefore financial risk belongs to Operator</w:t>
            </w:r>
          </w:p>
          <w:p w14:paraId="093B1B9C" w14:textId="0158E743" w:rsidR="00CF22B5" w:rsidRDefault="00CF22B5" w:rsidP="00677214">
            <w:pPr>
              <w:pStyle w:val="ListParagraph"/>
              <w:numPr>
                <w:ilvl w:val="0"/>
                <w:numId w:val="6"/>
              </w:numPr>
              <w:jc w:val="left"/>
            </w:pPr>
            <w:r>
              <w:t>IRR and NPV of Green Power deployment is significantly attractive.</w:t>
            </w:r>
          </w:p>
          <w:p w14:paraId="1BD6BA95" w14:textId="241B3BBB" w:rsidR="00CF22B5" w:rsidRDefault="00CF22B5" w:rsidP="00677214">
            <w:pPr>
              <w:pStyle w:val="ListParagraph"/>
              <w:numPr>
                <w:ilvl w:val="0"/>
                <w:numId w:val="6"/>
              </w:numPr>
              <w:jc w:val="left"/>
            </w:pPr>
            <w:r>
              <w:t>For mass deployment, CAPEX investment comes as a barrier since it may require hundreds of millions of dollars.</w:t>
            </w:r>
          </w:p>
        </w:tc>
        <w:tc>
          <w:tcPr>
            <w:tcW w:w="195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tcPr>
          <w:p w14:paraId="4E3D9B0D" w14:textId="77777777" w:rsidR="00CF22B5" w:rsidRDefault="00CF22B5" w:rsidP="00677214">
            <w:pPr>
              <w:pStyle w:val="ListParagraph"/>
              <w:numPr>
                <w:ilvl w:val="0"/>
                <w:numId w:val="6"/>
              </w:numPr>
              <w:jc w:val="left"/>
            </w:pPr>
            <w:r>
              <w:t>Operator does not have to invest for CAPEX, therefore no financial risk to deploy green power</w:t>
            </w:r>
          </w:p>
          <w:p w14:paraId="2C721B43" w14:textId="77777777" w:rsidR="00CF22B5" w:rsidRDefault="00CF22B5" w:rsidP="00677214">
            <w:pPr>
              <w:pStyle w:val="ListParagraph"/>
              <w:numPr>
                <w:ilvl w:val="0"/>
                <w:numId w:val="6"/>
              </w:numPr>
              <w:jc w:val="left"/>
            </w:pPr>
            <w:r>
              <w:t>IRR and NPV increases for telecom site since site OPEX reduces</w:t>
            </w:r>
          </w:p>
          <w:p w14:paraId="5324FD3B" w14:textId="71586B63" w:rsidR="00CF22B5" w:rsidRDefault="00CF22B5" w:rsidP="00677214">
            <w:pPr>
              <w:pStyle w:val="ListParagraph"/>
              <w:numPr>
                <w:ilvl w:val="0"/>
                <w:numId w:val="6"/>
              </w:numPr>
              <w:jc w:val="left"/>
            </w:pPr>
            <w:r>
              <w:t>Since mass deployment increases the business opportunity for ESCO, it comes more viable to invest</w:t>
            </w:r>
          </w:p>
        </w:tc>
      </w:tr>
      <w:tr w:rsidR="00CF22B5" w14:paraId="5D6A32E4" w14:textId="77777777" w:rsidTr="00677214">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03576983" w14:textId="0611FC28" w:rsidR="00CF22B5" w:rsidRPr="00BE6A26" w:rsidRDefault="00CF22B5" w:rsidP="00BB5577">
            <w:pPr>
              <w:jc w:val="left"/>
              <w:rPr>
                <w:color w:val="FFFFFF" w:themeColor="background1"/>
              </w:rPr>
            </w:pPr>
            <w:r>
              <w:rPr>
                <w:color w:val="FFFFFF" w:themeColor="background1"/>
              </w:rPr>
              <w:t>Operational</w:t>
            </w:r>
          </w:p>
        </w:tc>
        <w:tc>
          <w:tcPr>
            <w:tcW w:w="2088" w:type="pct"/>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tcPr>
          <w:p w14:paraId="10D0D78A" w14:textId="77777777" w:rsidR="00CF22B5" w:rsidRDefault="00CF22B5" w:rsidP="00677214">
            <w:pPr>
              <w:pStyle w:val="ListParagraph"/>
              <w:numPr>
                <w:ilvl w:val="0"/>
                <w:numId w:val="6"/>
              </w:numPr>
              <w:jc w:val="left"/>
            </w:pPr>
            <w:r>
              <w:t>Regular day-to-day site operation is a responsibility of operator</w:t>
            </w:r>
          </w:p>
          <w:p w14:paraId="36E98A52" w14:textId="77777777" w:rsidR="00CF22B5" w:rsidRDefault="00CF22B5" w:rsidP="00677214">
            <w:pPr>
              <w:pStyle w:val="ListParagraph"/>
              <w:numPr>
                <w:ilvl w:val="0"/>
                <w:numId w:val="6"/>
              </w:numPr>
              <w:jc w:val="left"/>
            </w:pPr>
            <w:r>
              <w:t>All cost related to site operation is incurred by operator</w:t>
            </w:r>
          </w:p>
          <w:p w14:paraId="386C46AE" w14:textId="77777777" w:rsidR="00CF22B5" w:rsidRDefault="00CF22B5" w:rsidP="00677214">
            <w:pPr>
              <w:pStyle w:val="ListParagraph"/>
              <w:numPr>
                <w:ilvl w:val="0"/>
                <w:numId w:val="6"/>
              </w:numPr>
              <w:jc w:val="left"/>
            </w:pPr>
            <w:r>
              <w:t>Site uptime and SLA maintenance is typically on operator. If fails, Operator bears all financial loss/penalty</w:t>
            </w:r>
          </w:p>
          <w:p w14:paraId="2CE0415A" w14:textId="77777777" w:rsidR="00CF22B5" w:rsidRDefault="00CF22B5" w:rsidP="00677214">
            <w:pPr>
              <w:pStyle w:val="ListParagraph"/>
              <w:numPr>
                <w:ilvl w:val="0"/>
                <w:numId w:val="6"/>
              </w:numPr>
              <w:jc w:val="left"/>
            </w:pPr>
            <w:r>
              <w:t>OPEX for technical operation is low</w:t>
            </w:r>
          </w:p>
          <w:p w14:paraId="4B7778F1" w14:textId="3237DFC1" w:rsidR="00CF22B5" w:rsidRDefault="00CF22B5" w:rsidP="00677214">
            <w:pPr>
              <w:pStyle w:val="ListParagraph"/>
              <w:numPr>
                <w:ilvl w:val="0"/>
                <w:numId w:val="6"/>
              </w:numPr>
              <w:jc w:val="left"/>
            </w:pPr>
            <w:r>
              <w:t>OPEX for site operation is high</w:t>
            </w:r>
          </w:p>
        </w:tc>
        <w:tc>
          <w:tcPr>
            <w:tcW w:w="19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3CBC2F" w14:textId="41D715B2" w:rsidR="00CF22B5" w:rsidRPr="00CF22B5" w:rsidRDefault="00CF22B5" w:rsidP="00677214">
            <w:pPr>
              <w:pStyle w:val="ListParagraph"/>
              <w:numPr>
                <w:ilvl w:val="0"/>
                <w:numId w:val="6"/>
              </w:numPr>
              <w:jc w:val="left"/>
            </w:pPr>
            <w:r w:rsidRPr="00CF22B5">
              <w:t>Site operation is a responsibility of ESCO; therefore Operator does not need to deploy resource for site operation</w:t>
            </w:r>
          </w:p>
          <w:p w14:paraId="6E0C0022" w14:textId="77777777" w:rsidR="00CF22B5" w:rsidRPr="00CF22B5" w:rsidRDefault="00CF22B5" w:rsidP="00677214">
            <w:pPr>
              <w:pStyle w:val="ListParagraph"/>
              <w:numPr>
                <w:ilvl w:val="0"/>
                <w:numId w:val="6"/>
              </w:numPr>
              <w:jc w:val="left"/>
            </w:pPr>
            <w:r w:rsidRPr="00CF22B5">
              <w:t>Operator pays only based on energy usage in a pre-agreed rate, therefore operational cost is forecast-able and comparatively lower than DG based energy cost</w:t>
            </w:r>
          </w:p>
          <w:p w14:paraId="3D50BCDD" w14:textId="5D6E06DF" w:rsidR="00CF22B5" w:rsidRDefault="00CF22B5" w:rsidP="00677214">
            <w:pPr>
              <w:pStyle w:val="ListParagraph"/>
              <w:numPr>
                <w:ilvl w:val="0"/>
                <w:numId w:val="6"/>
              </w:numPr>
              <w:jc w:val="left"/>
            </w:pPr>
            <w:r w:rsidRPr="00CF22B5">
              <w:t>SLA and Uptime is a responsibility of ESCO. If fails, ESCO bears penalty</w:t>
            </w:r>
          </w:p>
        </w:tc>
      </w:tr>
      <w:tr w:rsidR="00CF22B5" w14:paraId="44A48127" w14:textId="77777777" w:rsidTr="00677214">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4E2F2F0B" w14:textId="45075490" w:rsidR="00CF22B5" w:rsidRPr="00BE6A26" w:rsidRDefault="00CF22B5" w:rsidP="00BB5577">
            <w:pPr>
              <w:jc w:val="left"/>
              <w:rPr>
                <w:color w:val="FFFFFF" w:themeColor="background1"/>
              </w:rPr>
            </w:pPr>
            <w:r>
              <w:rPr>
                <w:color w:val="FFFFFF" w:themeColor="background1"/>
              </w:rPr>
              <w:t>Strategic</w:t>
            </w:r>
          </w:p>
        </w:tc>
        <w:tc>
          <w:tcPr>
            <w:tcW w:w="2088" w:type="pct"/>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tcPr>
          <w:p w14:paraId="5D0F4EE7" w14:textId="79329C63" w:rsidR="00CF22B5" w:rsidRPr="00CF22B5" w:rsidRDefault="00CF22B5" w:rsidP="00677214">
            <w:pPr>
              <w:pStyle w:val="ListParagraph"/>
              <w:numPr>
                <w:ilvl w:val="0"/>
                <w:numId w:val="6"/>
              </w:numPr>
              <w:jc w:val="left"/>
            </w:pPr>
            <w:r w:rsidRPr="00CF22B5">
              <w:t>All asset of green power belongs to operator, therefore increases portfolio &amp;</w:t>
            </w:r>
            <w:r w:rsidR="00E82F2A">
              <w:t xml:space="preserve"> branding value of organization</w:t>
            </w:r>
          </w:p>
          <w:p w14:paraId="2F52DCAB" w14:textId="77777777" w:rsidR="00CF22B5" w:rsidRPr="00CF22B5" w:rsidRDefault="00CF22B5" w:rsidP="00677214">
            <w:pPr>
              <w:pStyle w:val="ListParagraph"/>
              <w:numPr>
                <w:ilvl w:val="0"/>
                <w:numId w:val="6"/>
              </w:numPr>
              <w:jc w:val="left"/>
            </w:pPr>
            <w:r w:rsidRPr="00CF22B5">
              <w:t>Maximize utilization of existing asset.</w:t>
            </w:r>
          </w:p>
          <w:p w14:paraId="18E8636A" w14:textId="77777777" w:rsidR="00CF22B5" w:rsidRPr="00CF22B5" w:rsidRDefault="00CF22B5" w:rsidP="00677214">
            <w:pPr>
              <w:pStyle w:val="ListParagraph"/>
              <w:numPr>
                <w:ilvl w:val="0"/>
                <w:numId w:val="6"/>
              </w:numPr>
              <w:jc w:val="left"/>
            </w:pPr>
            <w:r w:rsidRPr="00CF22B5">
              <w:t>Easy to cope-up with variable changes</w:t>
            </w:r>
          </w:p>
          <w:p w14:paraId="263AA470" w14:textId="77777777" w:rsidR="00CF22B5" w:rsidRPr="00CF22B5" w:rsidRDefault="00CF22B5" w:rsidP="00677214">
            <w:pPr>
              <w:pStyle w:val="ListParagraph"/>
              <w:numPr>
                <w:ilvl w:val="0"/>
                <w:numId w:val="6"/>
              </w:numPr>
              <w:jc w:val="left"/>
            </w:pPr>
            <w:r w:rsidRPr="00CF22B5">
              <w:t>Multi 3rd parties’ engagement makes the model complex for operator to handle at last mile</w:t>
            </w:r>
          </w:p>
          <w:p w14:paraId="032C8726" w14:textId="32C328BE" w:rsidR="00CF22B5" w:rsidRDefault="00CF22B5" w:rsidP="00677214">
            <w:pPr>
              <w:pStyle w:val="ListParagraph"/>
              <w:numPr>
                <w:ilvl w:val="0"/>
                <w:numId w:val="6"/>
              </w:numPr>
              <w:jc w:val="left"/>
            </w:pPr>
            <w:r w:rsidRPr="00CF22B5">
              <w:t>Increase debt for organization</w:t>
            </w:r>
          </w:p>
        </w:tc>
        <w:tc>
          <w:tcPr>
            <w:tcW w:w="19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8ED1F1" w14:textId="77777777" w:rsidR="00CF22B5" w:rsidRPr="00CF22B5" w:rsidRDefault="00CF22B5" w:rsidP="00677214">
            <w:pPr>
              <w:pStyle w:val="ListParagraph"/>
              <w:numPr>
                <w:ilvl w:val="0"/>
                <w:numId w:val="6"/>
              </w:numPr>
              <w:jc w:val="left"/>
            </w:pPr>
            <w:r w:rsidRPr="00CF22B5">
              <w:t>Easy to control last mile performance sine ESCO is the only last mile partner</w:t>
            </w:r>
          </w:p>
          <w:p w14:paraId="3D1914F2" w14:textId="77777777" w:rsidR="00CF22B5" w:rsidRPr="00CF22B5" w:rsidRDefault="00CF22B5" w:rsidP="00677214">
            <w:pPr>
              <w:pStyle w:val="ListParagraph"/>
              <w:numPr>
                <w:ilvl w:val="0"/>
                <w:numId w:val="6"/>
              </w:numPr>
              <w:jc w:val="left"/>
            </w:pPr>
            <w:r w:rsidRPr="00CF22B5">
              <w:t>Get full benefit of GHG emission reduction</w:t>
            </w:r>
          </w:p>
          <w:p w14:paraId="06454E47" w14:textId="77777777" w:rsidR="00CF22B5" w:rsidRPr="00CF22B5" w:rsidRDefault="00CF22B5" w:rsidP="00677214">
            <w:pPr>
              <w:pStyle w:val="ListParagraph"/>
              <w:numPr>
                <w:ilvl w:val="0"/>
                <w:numId w:val="6"/>
              </w:numPr>
              <w:jc w:val="left"/>
            </w:pPr>
            <w:r w:rsidRPr="00CF22B5">
              <w:t>Increases complexity of state management</w:t>
            </w:r>
          </w:p>
          <w:p w14:paraId="2BD89C69" w14:textId="77777777" w:rsidR="00CF22B5" w:rsidRPr="00CF22B5" w:rsidRDefault="00CF22B5" w:rsidP="00677214">
            <w:pPr>
              <w:pStyle w:val="ListParagraph"/>
              <w:numPr>
                <w:ilvl w:val="0"/>
                <w:numId w:val="6"/>
              </w:numPr>
              <w:jc w:val="left"/>
            </w:pPr>
            <w:r w:rsidRPr="00CF22B5">
              <w:t>Not so easy to cope-up with increase of power requirement on regular basis</w:t>
            </w:r>
          </w:p>
          <w:p w14:paraId="44FD4DF5" w14:textId="2FF53ED6" w:rsidR="00CF22B5" w:rsidRDefault="00CF22B5" w:rsidP="00677214">
            <w:pPr>
              <w:pStyle w:val="ListParagraph"/>
              <w:numPr>
                <w:ilvl w:val="0"/>
                <w:numId w:val="6"/>
              </w:numPr>
              <w:jc w:val="left"/>
            </w:pPr>
            <w:r w:rsidRPr="00CF22B5">
              <w:t>Reduces the risk of unforeseen energy OPEX due to market change and consumer inflation</w:t>
            </w:r>
          </w:p>
        </w:tc>
      </w:tr>
    </w:tbl>
    <w:p w14:paraId="74B83330" w14:textId="77777777" w:rsidR="00957E06" w:rsidRDefault="00957E06" w:rsidP="00B763CC"/>
    <w:p w14:paraId="12CF65A4" w14:textId="3C8A25CA" w:rsidR="007D3A90" w:rsidRDefault="008B0D06" w:rsidP="00B763CC">
      <w:r>
        <w:t xml:space="preserve">The decision to invest </w:t>
      </w:r>
      <w:r w:rsidR="00242437">
        <w:t>(</w:t>
      </w:r>
      <w:r>
        <w:t>or outsource</w:t>
      </w:r>
      <w:r w:rsidR="00242437">
        <w:t>) in</w:t>
      </w:r>
      <w:r>
        <w:t xml:space="preserve"> energy provision depends on clear understanding of both the technical and financial feasibility of green power alternatives for current and future operating context.</w:t>
      </w:r>
      <w:r w:rsidR="006E53DE">
        <w:t xml:space="preserve"> </w:t>
      </w:r>
      <w:r w:rsidR="002C13DA">
        <w:t xml:space="preserve">A thorough design and analysis needs to be carried out in order to understand each aspect of technical and financial feasibility and the underlying </w:t>
      </w:r>
      <w:proofErr w:type="gramStart"/>
      <w:r w:rsidR="002C13DA">
        <w:t>parameters which</w:t>
      </w:r>
      <w:proofErr w:type="gramEnd"/>
      <w:r w:rsidR="002C13DA">
        <w:t xml:space="preserve"> affect the feasibility.</w:t>
      </w:r>
    </w:p>
    <w:p w14:paraId="5FFDE4AB" w14:textId="251F4AED" w:rsidR="00857327" w:rsidRDefault="00857327">
      <w:pPr>
        <w:spacing w:line="240" w:lineRule="auto"/>
        <w:jc w:val="left"/>
        <w:rPr>
          <w:rFonts w:eastAsiaTheme="majorEastAsia" w:cstheme="majorBidi"/>
          <w:b/>
          <w:bCs/>
          <w:color w:val="71AC7A"/>
          <w:sz w:val="36"/>
          <w:szCs w:val="32"/>
          <w:bdr w:val="nil"/>
        </w:rPr>
      </w:pPr>
      <w:r>
        <w:br w:type="page"/>
      </w:r>
    </w:p>
    <w:p w14:paraId="1EF449BE" w14:textId="26E959A0" w:rsidR="00957E06" w:rsidRDefault="00E80FEC" w:rsidP="000B5699">
      <w:pPr>
        <w:pStyle w:val="Heading1"/>
      </w:pPr>
      <w:bookmarkStart w:id="14" w:name="_Toc393749898"/>
      <w:r>
        <w:lastRenderedPageBreak/>
        <w:t>Green Power F</w:t>
      </w:r>
      <w:r w:rsidR="00957E06">
        <w:t xml:space="preserve">easibility – </w:t>
      </w:r>
      <w:r>
        <w:t>Approach</w:t>
      </w:r>
      <w:r w:rsidR="00957E06">
        <w:t xml:space="preserve"> and </w:t>
      </w:r>
      <w:r>
        <w:t>Scenarios</w:t>
      </w:r>
      <w:bookmarkEnd w:id="14"/>
    </w:p>
    <w:p w14:paraId="6120231E" w14:textId="3F142460" w:rsidR="00A744CF" w:rsidRDefault="00A744CF" w:rsidP="00B763CC">
      <w:r>
        <w:rPr>
          <w:noProof/>
        </w:rPr>
        <w:drawing>
          <wp:inline distT="0" distB="0" distL="0" distR="0" wp14:anchorId="45C70FEA" wp14:editId="0DDBA9F7">
            <wp:extent cx="5515610" cy="1381125"/>
            <wp:effectExtent l="0" t="0" r="889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15610" cy="1381125"/>
                    </a:xfrm>
                    <a:prstGeom prst="rect">
                      <a:avLst/>
                    </a:prstGeom>
                    <a:noFill/>
                  </pic:spPr>
                </pic:pic>
              </a:graphicData>
            </a:graphic>
          </wp:inline>
        </w:drawing>
      </w:r>
    </w:p>
    <w:p w14:paraId="5990B172" w14:textId="7DD4CD34" w:rsidR="00957E06" w:rsidRDefault="00855BDF" w:rsidP="00B763CC">
      <w:r>
        <w:t>The analysis of green power feasibility depends largely on the understanding of the c</w:t>
      </w:r>
      <w:r w:rsidR="007C619F">
        <w:t>urrent operating context</w:t>
      </w:r>
      <w:r w:rsidR="00997C01">
        <w:t>,</w:t>
      </w:r>
      <w:r w:rsidR="007C619F">
        <w:t xml:space="preserve"> </w:t>
      </w:r>
      <w:r w:rsidR="001E7937">
        <w:t xml:space="preserve">the </w:t>
      </w:r>
      <w:r>
        <w:t>underlying goals and objectives</w:t>
      </w:r>
      <w:r w:rsidR="00997C01">
        <w:t xml:space="preserve"> and the design approach</w:t>
      </w:r>
      <w:r>
        <w:t>.</w:t>
      </w:r>
      <w:r w:rsidR="007C619F">
        <w:t xml:space="preserve"> A </w:t>
      </w:r>
      <w:r w:rsidR="00997C01">
        <w:t xml:space="preserve">right approach to </w:t>
      </w:r>
      <w:r w:rsidR="007C619F">
        <w:t xml:space="preserve">design and </w:t>
      </w:r>
      <w:r w:rsidR="00997C01">
        <w:t>thorough analysis is required for</w:t>
      </w:r>
      <w:r w:rsidR="007C619F">
        <w:t xml:space="preserve"> a clear understanding</w:t>
      </w:r>
      <w:r w:rsidR="00997C01">
        <w:t xml:space="preserve"> of the technical and financial aspects of investing in green power in order</w:t>
      </w:r>
      <w:r w:rsidR="007C619F">
        <w:t xml:space="preserve"> to help in </w:t>
      </w:r>
      <w:proofErr w:type="gramStart"/>
      <w:r w:rsidR="007C619F">
        <w:t>decision making</w:t>
      </w:r>
      <w:proofErr w:type="gramEnd"/>
      <w:r w:rsidR="007C619F">
        <w:t>.</w:t>
      </w:r>
    </w:p>
    <w:p w14:paraId="07FD82B7" w14:textId="77777777" w:rsidR="00FE5A4A" w:rsidRDefault="00FE5A4A" w:rsidP="00B763CC"/>
    <w:p w14:paraId="14A8F43C" w14:textId="77777777" w:rsidR="005A4371" w:rsidRDefault="005A4371" w:rsidP="00161459">
      <w:r>
        <w:t xml:space="preserve">A typical power system and its components at a telecom site </w:t>
      </w:r>
      <w:proofErr w:type="gramStart"/>
      <w:r>
        <w:t>is</w:t>
      </w:r>
      <w:proofErr w:type="gramEnd"/>
      <w:r>
        <w:t xml:space="preserve"> illustrated in the figure below.</w:t>
      </w:r>
    </w:p>
    <w:p w14:paraId="238C6B7E" w14:textId="71FBEBAC" w:rsidR="00FE5A4A" w:rsidRDefault="002416D4" w:rsidP="002416D4">
      <w:pPr>
        <w:pStyle w:val="Caption"/>
      </w:pPr>
      <w:bookmarkStart w:id="15" w:name="_Toc393749914"/>
      <w:r>
        <w:t xml:space="preserve">Figure </w:t>
      </w:r>
      <w:fldSimple w:instr=" SEQ Figure \* ARABIC ">
        <w:r w:rsidR="00B34814">
          <w:rPr>
            <w:noProof/>
          </w:rPr>
          <w:t>2</w:t>
        </w:r>
      </w:fldSimple>
      <w:r>
        <w:t>: A typical Telecom Power System and Components</w:t>
      </w:r>
      <w:bookmarkEnd w:id="15"/>
    </w:p>
    <w:p w14:paraId="44649DC4" w14:textId="77777777" w:rsidR="0078008D" w:rsidRPr="0078008D" w:rsidRDefault="0078008D" w:rsidP="0078008D"/>
    <w:p w14:paraId="58FBA007" w14:textId="3BE7D4FD" w:rsidR="0078008D" w:rsidRPr="0078008D" w:rsidRDefault="0078008D" w:rsidP="0078008D">
      <w:r w:rsidRPr="0078008D">
        <w:rPr>
          <w:noProof/>
        </w:rPr>
        <w:drawing>
          <wp:inline distT="0" distB="0" distL="0" distR="0" wp14:anchorId="47E2D157" wp14:editId="374351AE">
            <wp:extent cx="5486400" cy="3487029"/>
            <wp:effectExtent l="0" t="0" r="0" b="0"/>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86400" cy="3487029"/>
                    </a:xfrm>
                    <a:prstGeom prst="rect">
                      <a:avLst/>
                    </a:prstGeom>
                  </pic:spPr>
                </pic:pic>
              </a:graphicData>
            </a:graphic>
          </wp:inline>
        </w:drawing>
      </w:r>
    </w:p>
    <w:p w14:paraId="41B33B32" w14:textId="2CA155C8" w:rsidR="00982718" w:rsidRDefault="00982718" w:rsidP="00982718">
      <w:pPr>
        <w:jc w:val="center"/>
      </w:pPr>
    </w:p>
    <w:p w14:paraId="354A4E32" w14:textId="77777777" w:rsidR="007A5196" w:rsidRDefault="007A5196" w:rsidP="00161459"/>
    <w:p w14:paraId="113B1429" w14:textId="5E004B34" w:rsidR="007A5196" w:rsidRDefault="007A5196" w:rsidP="00161459">
      <w:r>
        <w:t>The</w:t>
      </w:r>
      <w:r w:rsidR="00EA7E71">
        <w:t xml:space="preserve"> technical</w:t>
      </w:r>
      <w:r>
        <w:t xml:space="preserve"> </w:t>
      </w:r>
      <w:r w:rsidR="00064CE0">
        <w:t xml:space="preserve">design and </w:t>
      </w:r>
      <w:r w:rsidR="00EA7E71">
        <w:t xml:space="preserve">financial </w:t>
      </w:r>
      <w:r>
        <w:t xml:space="preserve">feasibility of green power is affected various design </w:t>
      </w:r>
      <w:r w:rsidR="00EA7E71">
        <w:t xml:space="preserve">as well as commercial </w:t>
      </w:r>
      <w:r>
        <w:t>parameters as explained below.</w:t>
      </w:r>
    </w:p>
    <w:p w14:paraId="4DED76BC" w14:textId="77777777" w:rsidR="00601970" w:rsidRDefault="00601970" w:rsidP="00161459"/>
    <w:p w14:paraId="5736C9C0" w14:textId="4537D02A" w:rsidR="002D26CF" w:rsidRDefault="007A5196" w:rsidP="007A5196">
      <w:pPr>
        <w:pStyle w:val="ListParagraph"/>
        <w:numPr>
          <w:ilvl w:val="0"/>
          <w:numId w:val="14"/>
        </w:numPr>
      </w:pPr>
      <w:r w:rsidRPr="007A5196">
        <w:rPr>
          <w:b/>
        </w:rPr>
        <w:lastRenderedPageBreak/>
        <w:t>Site Loa</w:t>
      </w:r>
      <w:r w:rsidR="0008013C">
        <w:rPr>
          <w:b/>
        </w:rPr>
        <w:t>d:</w:t>
      </w:r>
      <w:r w:rsidR="00AC1DF2">
        <w:t xml:space="preserve"> Site load affects the dimensioning of power system and components and hence</w:t>
      </w:r>
      <w:r w:rsidR="00776175">
        <w:t>, financial viability.</w:t>
      </w:r>
      <w:r w:rsidR="00A6200F">
        <w:t xml:space="preserve"> Future load increases of MNOs and multi-tenant scenarios of Tower Companies present challenges for optimum power system design</w:t>
      </w:r>
      <w:r w:rsidR="006E3447">
        <w:t>.</w:t>
      </w:r>
      <w:r w:rsidR="00A6200F">
        <w:t xml:space="preserve"> </w:t>
      </w:r>
      <w:r w:rsidR="006E3447">
        <w:t xml:space="preserve">A comprehensive </w:t>
      </w:r>
      <w:r w:rsidR="00A6200F">
        <w:t>approach to green power design and feasibility</w:t>
      </w:r>
      <w:r w:rsidR="006E3447">
        <w:t xml:space="preserve"> analysis required for taking right investment decisions</w:t>
      </w:r>
      <w:r w:rsidR="00A6200F">
        <w:t>.</w:t>
      </w:r>
    </w:p>
    <w:p w14:paraId="1BB9CE60" w14:textId="508B7B6A" w:rsidR="00776175" w:rsidRDefault="0008013C" w:rsidP="007A5196">
      <w:pPr>
        <w:pStyle w:val="ListParagraph"/>
        <w:numPr>
          <w:ilvl w:val="0"/>
          <w:numId w:val="14"/>
        </w:numPr>
      </w:pPr>
      <w:r>
        <w:rPr>
          <w:b/>
        </w:rPr>
        <w:t>Renewable Resources:</w:t>
      </w:r>
      <w:r>
        <w:t xml:space="preserve"> </w:t>
      </w:r>
      <w:r w:rsidR="00AD5C99">
        <w:t>The availability of good renewable resources, such as suitable solar radiation and wind speeds, affects both the technical and financial feasibility of green power solutions.</w:t>
      </w:r>
      <w:r w:rsidR="00542D99">
        <w:t xml:space="preserve"> Seasonal variation in renewable resource availability presents a big challenge in power system design. Usually, an average case scenario is considered for design and analysis.</w:t>
      </w:r>
    </w:p>
    <w:p w14:paraId="7A1F3995" w14:textId="5808E8EC" w:rsidR="00AD5C99" w:rsidRDefault="00064CE0" w:rsidP="007A5196">
      <w:pPr>
        <w:pStyle w:val="ListParagraph"/>
        <w:numPr>
          <w:ilvl w:val="0"/>
          <w:numId w:val="14"/>
        </w:numPr>
      </w:pPr>
      <w:r>
        <w:rPr>
          <w:b/>
        </w:rPr>
        <w:t>Energy contribution:</w:t>
      </w:r>
      <w:r>
        <w:t xml:space="preserve"> Energy contribution from the green power source as part of the entire power system is very important </w:t>
      </w:r>
      <w:proofErr w:type="gramStart"/>
      <w:r>
        <w:t>parameter which</w:t>
      </w:r>
      <w:proofErr w:type="gramEnd"/>
      <w:r>
        <w:t xml:space="preserve"> affects dimensioning of the power system components including the green component.</w:t>
      </w:r>
      <w:r w:rsidR="00542D99">
        <w:t xml:space="preserve"> </w:t>
      </w:r>
      <w:r w:rsidR="005F1ADB">
        <w:t xml:space="preserve">Power system designs with 100% green power contribution may not be feasible for all categories of sites. </w:t>
      </w:r>
      <w:r w:rsidR="00741952">
        <w:t>Depending on the load and renewable resource context, choosing an optimum energy contribution from green component is very crucial for financial feasibility of green power solutions.</w:t>
      </w:r>
    </w:p>
    <w:p w14:paraId="71F7D50F" w14:textId="4906181B" w:rsidR="00064CE0" w:rsidRPr="00B72C74" w:rsidRDefault="00B72C74" w:rsidP="007A5196">
      <w:pPr>
        <w:pStyle w:val="ListParagraph"/>
        <w:numPr>
          <w:ilvl w:val="0"/>
          <w:numId w:val="14"/>
        </w:numPr>
      </w:pPr>
      <w:r>
        <w:rPr>
          <w:b/>
        </w:rPr>
        <w:t>DG loading and efficiency:</w:t>
      </w:r>
      <w:r>
        <w:t xml:space="preserve"> </w:t>
      </w:r>
      <w:r w:rsidR="006870AE">
        <w:t xml:space="preserve">The efficiency of diesel generators </w:t>
      </w:r>
      <w:proofErr w:type="gramStart"/>
      <w:r w:rsidR="006870AE">
        <w:t>have</w:t>
      </w:r>
      <w:proofErr w:type="gramEnd"/>
      <w:r w:rsidR="006870AE">
        <w:t xml:space="preserve"> a non-linear efficiency characteristic depending on the loading at any point of time. </w:t>
      </w:r>
      <w:r w:rsidR="007020E8">
        <w:t>For better efficiency, it is suggested to operate the DG above 50% loading. Therefore, the average loading on the diesel generators is a key design parameter to consider while dimensioning the green power system.</w:t>
      </w:r>
    </w:p>
    <w:p w14:paraId="3C0F3D55" w14:textId="3F5D8D0C" w:rsidR="007A5196" w:rsidRDefault="00406ABF" w:rsidP="007A5196">
      <w:pPr>
        <w:pStyle w:val="ListParagraph"/>
        <w:numPr>
          <w:ilvl w:val="0"/>
          <w:numId w:val="14"/>
        </w:numPr>
      </w:pPr>
      <w:r>
        <w:rPr>
          <w:b/>
        </w:rPr>
        <w:t>Battery autonomy and Cycle life</w:t>
      </w:r>
      <w:r w:rsidR="00B72C74">
        <w:rPr>
          <w:b/>
        </w:rPr>
        <w:t>:</w:t>
      </w:r>
      <w:r>
        <w:t xml:space="preserve"> </w:t>
      </w:r>
      <w:r w:rsidR="00BA32C6">
        <w:t>Another key component of the power system design is battery. The autonomy of the battery is a key parameter for any green power system design.</w:t>
      </w:r>
      <w:r w:rsidR="00720041">
        <w:t xml:space="preserve"> Choosing an o</w:t>
      </w:r>
      <w:r w:rsidR="00BA32C6">
        <w:t xml:space="preserve">ptimum </w:t>
      </w:r>
      <w:r w:rsidR="00720041">
        <w:t xml:space="preserve">autonomy of </w:t>
      </w:r>
      <w:r w:rsidR="00BA32C6">
        <w:t>battery</w:t>
      </w:r>
      <w:r w:rsidR="00720041">
        <w:t xml:space="preserve"> is crucial for overall efficiency of the system and its components.</w:t>
      </w:r>
      <w:r w:rsidR="00BA32C6">
        <w:t xml:space="preserve"> </w:t>
      </w:r>
      <w:r w:rsidR="00720041">
        <w:t xml:space="preserve">The battery autonomy and sizing depends on various </w:t>
      </w:r>
      <w:r w:rsidR="00885E68">
        <w:t>design inputs</w:t>
      </w:r>
      <w:r w:rsidR="00F84E82">
        <w:t xml:space="preserve"> including battery cycle life,</w:t>
      </w:r>
      <w:r w:rsidR="00885E68">
        <w:t xml:space="preserve"> efficiency, as well as some of the </w:t>
      </w:r>
      <w:proofErr w:type="gramStart"/>
      <w:r w:rsidR="00F84E82">
        <w:t>site specific</w:t>
      </w:r>
      <w:proofErr w:type="gramEnd"/>
      <w:r w:rsidR="00F84E82">
        <w:t xml:space="preserve"> conditions such as </w:t>
      </w:r>
      <w:r w:rsidR="00BA32C6">
        <w:t>resources</w:t>
      </w:r>
      <w:r w:rsidR="00F84E82">
        <w:t xml:space="preserve"> and their seasonal variations</w:t>
      </w:r>
      <w:r w:rsidR="00BA32C6">
        <w:t>.</w:t>
      </w:r>
    </w:p>
    <w:p w14:paraId="2E7F13F2" w14:textId="783B58E4" w:rsidR="00B94EA4" w:rsidRDefault="00B94EA4" w:rsidP="007A5196">
      <w:pPr>
        <w:pStyle w:val="ListParagraph"/>
        <w:numPr>
          <w:ilvl w:val="0"/>
          <w:numId w:val="14"/>
        </w:numPr>
      </w:pPr>
      <w:r>
        <w:rPr>
          <w:b/>
        </w:rPr>
        <w:t>CAPEX:</w:t>
      </w:r>
      <w:r>
        <w:t xml:space="preserve"> CAPEX of each component especially the battery and the solar PV components affects the overall feasibility of green power alternatives. The pricing of components and hence the CAPEX of green power varies by </w:t>
      </w:r>
      <w:r w:rsidR="00F637EF">
        <w:t>country and region</w:t>
      </w:r>
      <w:r>
        <w:t xml:space="preserve"> due to different macroeconomic conditions including taxation, import duties and the availability of local</w:t>
      </w:r>
      <w:r w:rsidR="00F637EF">
        <w:t xml:space="preserve"> or regional</w:t>
      </w:r>
      <w:r>
        <w:t xml:space="preserve"> manufacturing base.</w:t>
      </w:r>
    </w:p>
    <w:p w14:paraId="0181E4CD" w14:textId="77777777" w:rsidR="004E6648" w:rsidRDefault="0091604F" w:rsidP="007A5196">
      <w:pPr>
        <w:pStyle w:val="ListParagraph"/>
        <w:numPr>
          <w:ilvl w:val="0"/>
          <w:numId w:val="14"/>
        </w:numPr>
      </w:pPr>
      <w:r>
        <w:rPr>
          <w:b/>
        </w:rPr>
        <w:t>Diesel price:</w:t>
      </w:r>
      <w:r>
        <w:t xml:space="preserve"> The price of diesel varies by country and it hugely affects the commercial feasibility of green power vis-à-vis diesel based power system</w:t>
      </w:r>
      <w:r w:rsidR="00EA7E71">
        <w:t xml:space="preserve"> and the potential OPEX savings</w:t>
      </w:r>
      <w:r>
        <w:t>.</w:t>
      </w:r>
    </w:p>
    <w:p w14:paraId="7F1968C4" w14:textId="0D9307DD" w:rsidR="0091604F" w:rsidRDefault="004E6648" w:rsidP="007A5196">
      <w:pPr>
        <w:pStyle w:val="ListParagraph"/>
        <w:numPr>
          <w:ilvl w:val="0"/>
          <w:numId w:val="14"/>
        </w:numPr>
      </w:pPr>
      <w:r>
        <w:rPr>
          <w:b/>
        </w:rPr>
        <w:t>Land space:</w:t>
      </w:r>
      <w:r>
        <w:t xml:space="preserve"> Certain green power technologies such as solar, biomass etc. would require a large amount land for deployment. Hence, space availability at the site and ease of acquisition of addition space become critical parameters while analyzing the technical feasibility of green power solutions.</w:t>
      </w:r>
      <w:r w:rsidR="0091604F">
        <w:t xml:space="preserve">  </w:t>
      </w:r>
    </w:p>
    <w:p w14:paraId="02F8CC9F" w14:textId="77777777" w:rsidR="00113D61" w:rsidRDefault="00113D61" w:rsidP="00113D61"/>
    <w:p w14:paraId="7D690BE8" w14:textId="66FD6B1A" w:rsidR="00113D61" w:rsidRDefault="000822BF" w:rsidP="00113D61">
      <w:r>
        <w:t xml:space="preserve">The following sections present a detailed analysis of green power feasibility for various </w:t>
      </w:r>
      <w:r w:rsidR="000029AC">
        <w:t xml:space="preserve">technical and commercial </w:t>
      </w:r>
      <w:r>
        <w:t>scenarios.</w:t>
      </w:r>
    </w:p>
    <w:p w14:paraId="030E4C49" w14:textId="1D99BCEC" w:rsidR="00312CE2" w:rsidRDefault="0052008A" w:rsidP="00113D61">
      <w:pPr>
        <w:pStyle w:val="Heading2"/>
      </w:pPr>
      <w:bookmarkStart w:id="16" w:name="_Toc393749899"/>
      <w:r>
        <w:t>Case 1</w:t>
      </w:r>
      <w:r w:rsidR="00C73203">
        <w:t xml:space="preserve"> (MNO)</w:t>
      </w:r>
      <w:r>
        <w:t xml:space="preserve">: </w:t>
      </w:r>
      <w:r w:rsidR="00C73203">
        <w:t xml:space="preserve">Feasibility of Green </w:t>
      </w:r>
      <w:r w:rsidR="000822BF">
        <w:t>p</w:t>
      </w:r>
      <w:r w:rsidR="00C73203">
        <w:t xml:space="preserve">ower for </w:t>
      </w:r>
      <w:r w:rsidR="000822BF">
        <w:t>Single-</w:t>
      </w:r>
      <w:r w:rsidR="00C73203">
        <w:t>tenant scenario</w:t>
      </w:r>
      <w:bookmarkEnd w:id="16"/>
    </w:p>
    <w:p w14:paraId="6AD29BC8" w14:textId="32287AF2" w:rsidR="0052008A" w:rsidRDefault="00D346AB" w:rsidP="007A5196">
      <w:r>
        <w:t xml:space="preserve">In this section we build and analyze various scenarios for green power design and feasibility for a single tenant (MNO) case. </w:t>
      </w:r>
      <w:r w:rsidR="00404564">
        <w:t>For each scenario in this case, we consider a base case of DG-battery hybrid (CDC) solution for comparative feasibility analysis.</w:t>
      </w:r>
      <w:r w:rsidR="001E0303">
        <w:t xml:space="preserve"> In each case, Solar PV is considered as the green power component in the design.</w:t>
      </w:r>
    </w:p>
    <w:p w14:paraId="3E6CD8DB" w14:textId="49709265" w:rsidR="00FB4821" w:rsidRDefault="00FB4821" w:rsidP="00343A3D">
      <w:pPr>
        <w:pStyle w:val="Caption"/>
      </w:pPr>
      <w:bookmarkStart w:id="17" w:name="_Toc393749925"/>
      <w:r>
        <w:lastRenderedPageBreak/>
        <w:t>Table</w:t>
      </w:r>
      <w:r w:rsidR="00343A3D">
        <w:t xml:space="preserve"> </w:t>
      </w:r>
      <w:fldSimple w:instr=" SEQ Table \* ARABIC ">
        <w:r w:rsidR="00AE60B1">
          <w:rPr>
            <w:noProof/>
          </w:rPr>
          <w:t>2</w:t>
        </w:r>
      </w:fldSimple>
      <w:r>
        <w:t xml:space="preserve">: </w:t>
      </w:r>
      <w:r w:rsidR="00133B25">
        <w:t xml:space="preserve">Design </w:t>
      </w:r>
      <w:r>
        <w:t>Assumptions – Single Tenant</w:t>
      </w:r>
      <w:bookmarkEnd w:id="17"/>
    </w:p>
    <w:tbl>
      <w:tblPr>
        <w:tblW w:w="481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4535"/>
        <w:gridCol w:w="4000"/>
      </w:tblGrid>
      <w:tr w:rsidR="00B67CFA" w:rsidRPr="00BE6A26" w14:paraId="3782281C" w14:textId="77777777" w:rsidTr="00B67CFA">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792F1191" w14:textId="77777777" w:rsidR="00B67CFA" w:rsidRDefault="00B67CFA" w:rsidP="00FB4821">
            <w:pPr>
              <w:jc w:val="left"/>
            </w:pPr>
          </w:p>
        </w:tc>
        <w:tc>
          <w:tcPr>
            <w:tcW w:w="2343" w:type="pct"/>
            <w:tcBorders>
              <w:top w:val="single" w:sz="4" w:space="0" w:color="FFFFFF" w:themeColor="background1"/>
              <w:left w:val="single" w:sz="4" w:space="0" w:color="FFFFFF" w:themeColor="background1"/>
              <w:bottom w:val="single" w:sz="4" w:space="0" w:color="FFFFFF" w:themeColor="background1"/>
              <w:right w:val="single" w:sz="4" w:space="0" w:color="A6A6A6" w:themeColor="background1" w:themeShade="A6"/>
            </w:tcBorders>
            <w:shd w:val="clear" w:color="auto" w:fill="71AC7A"/>
            <w:vAlign w:val="center"/>
          </w:tcPr>
          <w:p w14:paraId="319EE349" w14:textId="556404B6" w:rsidR="00B67CFA" w:rsidRPr="00BE6A26" w:rsidRDefault="00B67CFA" w:rsidP="00FB4821">
            <w:pPr>
              <w:jc w:val="left"/>
              <w:rPr>
                <w:color w:val="FFFFFF" w:themeColor="background1"/>
              </w:rPr>
            </w:pPr>
          </w:p>
        </w:tc>
      </w:tr>
      <w:tr w:rsidR="00B67CFA" w14:paraId="2BA8D38B" w14:textId="77777777" w:rsidTr="00B67CFA">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428B2FA1" w14:textId="5D8265F5" w:rsidR="00B67CFA" w:rsidRPr="00BE6A26" w:rsidRDefault="00B67CFA" w:rsidP="00BE1BCF">
            <w:pPr>
              <w:jc w:val="left"/>
              <w:rPr>
                <w:color w:val="FFFFFF" w:themeColor="background1"/>
              </w:rPr>
            </w:pPr>
            <w:r>
              <w:rPr>
                <w:color w:val="FFFFFF" w:themeColor="background1"/>
              </w:rPr>
              <w:t>Site Load per tenant</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6740322" w14:textId="43DF6E00" w:rsidR="00B67CFA" w:rsidRDefault="00B67CFA" w:rsidP="00FB4821">
            <w:pPr>
              <w:pStyle w:val="ListParagraph"/>
              <w:ind w:left="283"/>
              <w:jc w:val="left"/>
            </w:pPr>
            <w:r>
              <w:t>1.5 kW</w:t>
            </w:r>
          </w:p>
        </w:tc>
      </w:tr>
      <w:tr w:rsidR="00B67CFA" w14:paraId="1AD4C6D4" w14:textId="77777777" w:rsidTr="00B67CFA">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786459A7" w14:textId="1ED6DF9A" w:rsidR="00B67CFA" w:rsidRPr="00BE6A26" w:rsidRDefault="00B67CFA" w:rsidP="00FB4821">
            <w:pPr>
              <w:jc w:val="left"/>
              <w:rPr>
                <w:color w:val="FFFFFF" w:themeColor="background1"/>
              </w:rPr>
            </w:pPr>
            <w:r>
              <w:rPr>
                <w:color w:val="FFFFFF" w:themeColor="background1"/>
              </w:rPr>
              <w:t>DG run hours (CDC)</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E396497" w14:textId="6D8BCC8A" w:rsidR="00B67CFA" w:rsidRDefault="00B67CFA" w:rsidP="00FB4821">
            <w:pPr>
              <w:pStyle w:val="ListParagraph"/>
              <w:ind w:left="283"/>
              <w:jc w:val="left"/>
            </w:pPr>
            <w:r>
              <w:t>12 hours</w:t>
            </w:r>
          </w:p>
        </w:tc>
      </w:tr>
      <w:tr w:rsidR="00B67CFA" w14:paraId="1A4C687C" w14:textId="77777777" w:rsidTr="00B67CFA">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14CD2A81" w14:textId="344CD117" w:rsidR="00B67CFA" w:rsidRPr="00BE6A26" w:rsidRDefault="00B67CFA" w:rsidP="00FB4821">
            <w:pPr>
              <w:jc w:val="left"/>
              <w:rPr>
                <w:color w:val="FFFFFF" w:themeColor="background1"/>
              </w:rPr>
            </w:pPr>
            <w:r>
              <w:rPr>
                <w:color w:val="FFFFFF" w:themeColor="background1"/>
              </w:rPr>
              <w:t>Battery autonomy (CDC)</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B384F70" w14:textId="2732C278" w:rsidR="00B67CFA" w:rsidRDefault="00B67CFA" w:rsidP="00FB4821">
            <w:pPr>
              <w:pStyle w:val="ListParagraph"/>
              <w:ind w:left="283"/>
              <w:jc w:val="left"/>
            </w:pPr>
            <w:r>
              <w:t>6 hours</w:t>
            </w:r>
          </w:p>
        </w:tc>
      </w:tr>
      <w:tr w:rsidR="00B67CFA" w14:paraId="09A8D63A" w14:textId="77777777" w:rsidTr="00B67CFA">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01B4BAB1" w14:textId="61539938" w:rsidR="00B67CFA" w:rsidRDefault="00B67CFA" w:rsidP="00FB4821">
            <w:pPr>
              <w:jc w:val="left"/>
              <w:rPr>
                <w:color w:val="FFFFFF" w:themeColor="background1"/>
              </w:rPr>
            </w:pPr>
            <w:r>
              <w:rPr>
                <w:color w:val="FFFFFF" w:themeColor="background1"/>
              </w:rPr>
              <w:t>DG Capacity</w:t>
            </w:r>
            <w:r w:rsidR="006A66BE">
              <w:rPr>
                <w:color w:val="FFFFFF" w:themeColor="background1"/>
              </w:rPr>
              <w:t xml:space="preserve"> (@ 0.8pf)</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7238B6E" w14:textId="615B44A4" w:rsidR="00B67CFA" w:rsidRDefault="00B67CFA" w:rsidP="00FB4821">
            <w:pPr>
              <w:pStyle w:val="ListParagraph"/>
              <w:ind w:left="283"/>
              <w:jc w:val="left"/>
            </w:pPr>
            <w:r>
              <w:t>15 KVA</w:t>
            </w:r>
          </w:p>
        </w:tc>
      </w:tr>
      <w:tr w:rsidR="00B67CFA" w14:paraId="685BC501" w14:textId="77777777" w:rsidTr="00B67CFA">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11EF9F83" w14:textId="10757A66" w:rsidR="00B67CFA" w:rsidRDefault="00B67CFA" w:rsidP="00BE1BCF">
            <w:pPr>
              <w:jc w:val="left"/>
              <w:rPr>
                <w:color w:val="FFFFFF" w:themeColor="background1"/>
              </w:rPr>
            </w:pPr>
            <w:r>
              <w:rPr>
                <w:color w:val="FFFFFF" w:themeColor="background1"/>
              </w:rPr>
              <w:t>DG Loading (avg. % of Capacity)</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268C509" w14:textId="17604DC6" w:rsidR="00B67CFA" w:rsidRDefault="00B67CFA" w:rsidP="00FB4821">
            <w:pPr>
              <w:pStyle w:val="ListParagraph"/>
              <w:ind w:left="283"/>
              <w:jc w:val="left"/>
            </w:pPr>
            <w:r>
              <w:t>70%</w:t>
            </w:r>
          </w:p>
        </w:tc>
      </w:tr>
      <w:tr w:rsidR="00B67CFA" w14:paraId="3C78F780" w14:textId="77777777" w:rsidTr="00B67CFA">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7A508846" w14:textId="07BBCBA9" w:rsidR="00B67CFA" w:rsidRDefault="00B67CFA" w:rsidP="00FB4821">
            <w:pPr>
              <w:jc w:val="left"/>
              <w:rPr>
                <w:color w:val="FFFFFF" w:themeColor="background1"/>
              </w:rPr>
            </w:pPr>
            <w:r>
              <w:rPr>
                <w:color w:val="FFFFFF" w:themeColor="background1"/>
              </w:rPr>
              <w:t>Solar Radiation</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6A7551C" w14:textId="64946391" w:rsidR="00B67CFA" w:rsidRDefault="00B67CFA" w:rsidP="00FB4821">
            <w:pPr>
              <w:pStyle w:val="ListParagraph"/>
              <w:ind w:left="283"/>
              <w:jc w:val="left"/>
            </w:pPr>
            <w:r>
              <w:t>5.5 kWh/m2/day</w:t>
            </w:r>
          </w:p>
        </w:tc>
      </w:tr>
      <w:tr w:rsidR="00B67CFA" w14:paraId="0F6DD4CA" w14:textId="77777777" w:rsidTr="00B67CFA">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174983AE" w14:textId="5DEF202B" w:rsidR="00B67CFA" w:rsidRPr="00BE6A26" w:rsidRDefault="00B67CFA" w:rsidP="00FB4821">
            <w:pPr>
              <w:jc w:val="left"/>
              <w:rPr>
                <w:color w:val="FFFFFF" w:themeColor="background1"/>
              </w:rPr>
            </w:pPr>
            <w:r>
              <w:rPr>
                <w:color w:val="FFFFFF" w:themeColor="background1"/>
              </w:rPr>
              <w:t>Battery Autonomy (Green)</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7749B12" w14:textId="0026603E" w:rsidR="00B67CFA" w:rsidRDefault="00B67CFA" w:rsidP="00FB4821">
            <w:pPr>
              <w:pStyle w:val="ListParagraph"/>
              <w:ind w:left="283"/>
              <w:jc w:val="left"/>
            </w:pPr>
            <w:r>
              <w:t>24 hours</w:t>
            </w:r>
          </w:p>
        </w:tc>
      </w:tr>
    </w:tbl>
    <w:p w14:paraId="2B7383C3" w14:textId="77777777" w:rsidR="003C2427" w:rsidRDefault="003C2427" w:rsidP="007A5196"/>
    <w:p w14:paraId="07D352D6" w14:textId="5F7338EC" w:rsidR="00CB5E33" w:rsidRDefault="00D91179" w:rsidP="007A5196">
      <w:r>
        <w:t xml:space="preserve">The technical design and dimensioning of green power system is calculated based on the above basic assumptions for a single tenant site. The designs are developed </w:t>
      </w:r>
      <w:r w:rsidR="00C762BD">
        <w:t xml:space="preserve">for </w:t>
      </w:r>
      <w:r>
        <w:t xml:space="preserve">various technical scenarios including </w:t>
      </w:r>
      <w:r w:rsidR="00C762BD">
        <w:t xml:space="preserve">varying green energy contribution, </w:t>
      </w:r>
      <w:r>
        <w:t xml:space="preserve">varying load, </w:t>
      </w:r>
      <w:r w:rsidR="002311F7">
        <w:t>and renewable</w:t>
      </w:r>
      <w:r w:rsidR="00C762BD">
        <w:t xml:space="preserve"> </w:t>
      </w:r>
      <w:r>
        <w:t>resources</w:t>
      </w:r>
      <w:r w:rsidR="00C762BD">
        <w:t xml:space="preserve"> availability</w:t>
      </w:r>
      <w:r w:rsidR="002311F7">
        <w:t xml:space="preserve"> and then, each scenario is analyzed for commercial feasibility considering the long-term TCO term and</w:t>
      </w:r>
      <w:r>
        <w:t xml:space="preserve"> </w:t>
      </w:r>
      <w:r w:rsidR="002311F7">
        <w:t>payback</w:t>
      </w:r>
      <w:r>
        <w:t xml:space="preserve">.  </w:t>
      </w:r>
      <w:r w:rsidR="00D20D1E">
        <w:t>A comparative analysis is presented along</w:t>
      </w:r>
      <w:r w:rsidR="00C762BD">
        <w:t xml:space="preserve"> with</w:t>
      </w:r>
      <w:r w:rsidR="00D20D1E">
        <w:t xml:space="preserve"> insights on feasibility of alternative power systems.</w:t>
      </w:r>
    </w:p>
    <w:p w14:paraId="5E0CE317" w14:textId="77777777" w:rsidR="003A785A" w:rsidRDefault="003A785A" w:rsidP="007A5196"/>
    <w:p w14:paraId="319047AC" w14:textId="3F4BFA85" w:rsidR="006A66BE" w:rsidRDefault="00F230F4" w:rsidP="00F230F4">
      <w:pPr>
        <w:pStyle w:val="Heading3"/>
      </w:pPr>
      <w:bookmarkStart w:id="18" w:name="_Toc393749900"/>
      <w:r>
        <w:t>Scenario</w:t>
      </w:r>
      <w:r w:rsidR="00AF4951">
        <w:t xml:space="preserve"> I</w:t>
      </w:r>
      <w:r w:rsidR="006A66BE">
        <w:t xml:space="preserve">: </w:t>
      </w:r>
      <w:r w:rsidR="00AF4951">
        <w:t>Green</w:t>
      </w:r>
      <w:r w:rsidR="006A66BE">
        <w:t xml:space="preserve"> Energy Contribution</w:t>
      </w:r>
      <w:bookmarkEnd w:id="18"/>
    </w:p>
    <w:p w14:paraId="0FCB6170" w14:textId="77777777" w:rsidR="00CE4602" w:rsidRDefault="00260CC5" w:rsidP="006A66BE">
      <w:r w:rsidRPr="00EE3E79">
        <w:rPr>
          <w:b/>
        </w:rPr>
        <w:t>Scenario:</w:t>
      </w:r>
      <w:r w:rsidR="00EE3E79">
        <w:t xml:space="preserve"> </w:t>
      </w:r>
    </w:p>
    <w:p w14:paraId="7900021A" w14:textId="409BF22B" w:rsidR="006A66BE" w:rsidRPr="00EE3E79" w:rsidRDefault="00C93DDF" w:rsidP="006A66BE">
      <w:r>
        <w:t>This</w:t>
      </w:r>
      <w:r w:rsidR="001E0303">
        <w:t xml:space="preserve"> scenario takes into consideration the effect of green energy contribution on the overall design and feasibility metrics.</w:t>
      </w:r>
      <w:r w:rsidR="00354203">
        <w:t xml:space="preserve"> Design and feasibility analysis is carried out for various solar energy contribution fractions ranging from 20% to 100%.</w:t>
      </w:r>
      <w:r w:rsidR="00EF0561">
        <w:t xml:space="preserve"> </w:t>
      </w:r>
    </w:p>
    <w:p w14:paraId="1DD3D50B" w14:textId="77777777" w:rsidR="001E7148" w:rsidRDefault="001E7148" w:rsidP="006A66BE"/>
    <w:p w14:paraId="418031CD" w14:textId="77777777" w:rsidR="00CE4602" w:rsidRDefault="00260CC5" w:rsidP="006A66BE">
      <w:r w:rsidRPr="00055B9A">
        <w:rPr>
          <w:b/>
        </w:rPr>
        <w:t>Analysis:</w:t>
      </w:r>
      <w:r w:rsidR="00055B9A">
        <w:t xml:space="preserve"> </w:t>
      </w:r>
    </w:p>
    <w:p w14:paraId="68FD741A" w14:textId="398B712F" w:rsidR="00EE6B36" w:rsidRDefault="00EF0561" w:rsidP="006A66BE">
      <w:r>
        <w:t xml:space="preserve">The scenario analyses the effect of energy contribution from </w:t>
      </w:r>
      <w:r w:rsidR="00365530">
        <w:t>green resource (</w:t>
      </w:r>
      <w:r>
        <w:t>solar</w:t>
      </w:r>
      <w:r w:rsidR="00365530">
        <w:t>)</w:t>
      </w:r>
      <w:r>
        <w:t xml:space="preserve"> as percentage of the total energy requirement for the base station site. Energy contribution is an important parameter in dimensioning the optimum green power system for telecoms. </w:t>
      </w:r>
      <w:r w:rsidR="00EE6B36">
        <w:t xml:space="preserve">The analysis below answers the </w:t>
      </w:r>
      <w:r>
        <w:t xml:space="preserve">question as to what percentage of </w:t>
      </w:r>
      <w:r w:rsidR="000014AC">
        <w:t>green (</w:t>
      </w:r>
      <w:r>
        <w:t>solar</w:t>
      </w:r>
      <w:r w:rsidR="000014AC">
        <w:t>) contribution to</w:t>
      </w:r>
      <w:r>
        <w:t xml:space="preserve"> be considered for the optimum design so that it is feasible both technically and financially. </w:t>
      </w:r>
    </w:p>
    <w:p w14:paraId="6F5D6DC2" w14:textId="77777777" w:rsidR="003C097F" w:rsidRDefault="003C097F" w:rsidP="006A66BE"/>
    <w:p w14:paraId="46793CC4" w14:textId="77777777" w:rsidR="003A785A" w:rsidRDefault="003A785A" w:rsidP="006A66BE"/>
    <w:p w14:paraId="341CFF80" w14:textId="77777777" w:rsidR="003A785A" w:rsidRDefault="003A785A" w:rsidP="006A66BE"/>
    <w:p w14:paraId="6A105593" w14:textId="7F9B7C52" w:rsidR="00DA3DDF" w:rsidRDefault="00DA3DDF" w:rsidP="00DA3DDF">
      <w:pPr>
        <w:pStyle w:val="Caption"/>
      </w:pPr>
      <w:bookmarkStart w:id="19" w:name="_Toc393749915"/>
      <w:r>
        <w:t xml:space="preserve">Figure </w:t>
      </w:r>
      <w:fldSimple w:instr=" SEQ Figure \* ARABIC ">
        <w:r w:rsidR="00B34814">
          <w:rPr>
            <w:noProof/>
          </w:rPr>
          <w:t>3</w:t>
        </w:r>
      </w:fldSimple>
      <w:r>
        <w:t>:</w:t>
      </w:r>
      <w:r w:rsidR="00A3175B">
        <w:t xml:space="preserve"> </w:t>
      </w:r>
      <w:r w:rsidR="002E6D73">
        <w:t>Feasibility (CDC vs. Green): Varying Green Energy Contribution –</w:t>
      </w:r>
      <w:r w:rsidR="00115380">
        <w:t xml:space="preserve"> </w:t>
      </w:r>
      <w:r w:rsidR="002E6D73">
        <w:t xml:space="preserve">impact </w:t>
      </w:r>
      <w:r w:rsidR="0038454D">
        <w:t xml:space="preserve">on </w:t>
      </w:r>
      <w:r w:rsidR="00E40597">
        <w:t xml:space="preserve">TCO and </w:t>
      </w:r>
      <w:r w:rsidR="002E6D73">
        <w:t>Payback</w:t>
      </w:r>
      <w:bookmarkEnd w:id="19"/>
    </w:p>
    <w:p w14:paraId="33BF9481" w14:textId="1BB76A24" w:rsidR="00A3175B" w:rsidRPr="00A3175B" w:rsidRDefault="009D0E75" w:rsidP="00A3175B">
      <w:r>
        <w:rPr>
          <w:noProof/>
        </w:rPr>
        <w:lastRenderedPageBreak/>
        <w:drawing>
          <wp:inline distT="0" distB="0" distL="0" distR="0" wp14:anchorId="666FBA9F" wp14:editId="4DAA2E6C">
            <wp:extent cx="5486400" cy="3788898"/>
            <wp:effectExtent l="0" t="0" r="19050" b="2159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EF89856" w14:textId="77777777" w:rsidR="00055B9A" w:rsidRDefault="00055B9A" w:rsidP="006A66BE"/>
    <w:p w14:paraId="00303448" w14:textId="77777777" w:rsidR="004626F5" w:rsidRDefault="000014AC" w:rsidP="006A66BE">
      <w:r>
        <w:t xml:space="preserve">The above graph illustrates TCO analysis of various scenarios of green energy contribution </w:t>
      </w:r>
      <w:r w:rsidR="00BB768E">
        <w:t xml:space="preserve">over a </w:t>
      </w:r>
      <w:proofErr w:type="gramStart"/>
      <w:r w:rsidR="00BB768E">
        <w:t>10 year</w:t>
      </w:r>
      <w:proofErr w:type="gramEnd"/>
      <w:r w:rsidR="00BB768E">
        <w:t xml:space="preserve"> period </w:t>
      </w:r>
      <w:r>
        <w:t>and compares it to the base case of DG-battery hybrid (or CDC) power solution.</w:t>
      </w:r>
      <w:r w:rsidR="00BB768E">
        <w:t xml:space="preserve"> </w:t>
      </w:r>
      <w:r w:rsidR="00E87D41">
        <w:t xml:space="preserve">As can be seen from the graph, the TCO and payback varies with the percentage of energy contribution from green source. </w:t>
      </w:r>
    </w:p>
    <w:p w14:paraId="75420F00" w14:textId="77777777" w:rsidR="004626F5" w:rsidRDefault="004626F5" w:rsidP="006A66BE"/>
    <w:p w14:paraId="02466100" w14:textId="6103E2FD" w:rsidR="004626F5" w:rsidRPr="003C097F" w:rsidRDefault="004626F5" w:rsidP="006A66BE">
      <w:pPr>
        <w:rPr>
          <w:i/>
        </w:rPr>
      </w:pPr>
      <w:r w:rsidRPr="003C097F">
        <w:rPr>
          <w:i/>
        </w:rPr>
        <w:t>Which solution to choose?</w:t>
      </w:r>
    </w:p>
    <w:p w14:paraId="287BF50E" w14:textId="76F7722D" w:rsidR="000014AC" w:rsidRDefault="004626F5" w:rsidP="006A66BE">
      <w:r>
        <w:t>One parameter to consider while selecting the best solution is the payback period. Compared to the CDC solution, the green power designs with green contribution between 20% and 80% have a payback period of around 2.5 years where as the design with 100% green contribution (or pure green design) has a payback period of over 3 years.</w:t>
      </w:r>
    </w:p>
    <w:p w14:paraId="4A0E7A70" w14:textId="77777777" w:rsidR="000014AC" w:rsidRDefault="000014AC" w:rsidP="006A66BE"/>
    <w:p w14:paraId="1D940574" w14:textId="74B1E8CC" w:rsidR="004626F5" w:rsidRDefault="004626F5" w:rsidP="006A66BE">
      <w:r>
        <w:t xml:space="preserve">Long term TCO is another factor to consider while selecting the best </w:t>
      </w:r>
      <w:proofErr w:type="gramStart"/>
      <w:r>
        <w:t>long term</w:t>
      </w:r>
      <w:proofErr w:type="gramEnd"/>
      <w:r>
        <w:t xml:space="preserve"> power solution for sustainably powering telecom site. </w:t>
      </w:r>
      <w:r w:rsidR="00BE1335">
        <w:t xml:space="preserve">As shown in the illustration above, the green design with 80% green contribution has the nest long term TCO as compared to the CDC and other green designs. The green designs with 60% and 100% green contribution have almost equal long term TCO at 10 </w:t>
      </w:r>
      <w:proofErr w:type="gramStart"/>
      <w:r w:rsidR="00BE1335">
        <w:t>years,</w:t>
      </w:r>
      <w:proofErr w:type="gramEnd"/>
      <w:r w:rsidR="00BE1335">
        <w:t xml:space="preserve"> however, the design with 60% green contribution has a better payback.</w:t>
      </w:r>
    </w:p>
    <w:p w14:paraId="6801868F" w14:textId="77777777" w:rsidR="004626F5" w:rsidRDefault="004626F5" w:rsidP="006A66BE"/>
    <w:p w14:paraId="4D536E93" w14:textId="7EC82B45" w:rsidR="004626F5" w:rsidRDefault="00E46612" w:rsidP="00E46612">
      <w:r>
        <w:t>Besides the payback period and the long term TCO, the initial CAPEX requirement puts a major constraint on choosing a solution design. E</w:t>
      </w:r>
      <w:r w:rsidR="004626F5">
        <w:t xml:space="preserve">ach of these green designs </w:t>
      </w:r>
      <w:r>
        <w:t>presented above have</w:t>
      </w:r>
      <w:r w:rsidR="004626F5">
        <w:t xml:space="preserve"> different CAPEX requirements compared to CDC solution. </w:t>
      </w:r>
      <w:r w:rsidR="007652A5">
        <w:t xml:space="preserve">For example, the design with 80% green contribution has the best long term TCO and almost similar payback period, but the CAPEX requirement </w:t>
      </w:r>
      <w:r w:rsidR="000644EB">
        <w:t>more than other green designs.</w:t>
      </w:r>
    </w:p>
    <w:p w14:paraId="03156CF4" w14:textId="77777777" w:rsidR="004626F5" w:rsidRDefault="004626F5" w:rsidP="006A66BE"/>
    <w:p w14:paraId="281610E9" w14:textId="42FC8A04" w:rsidR="00260CC5" w:rsidRPr="00CE4602" w:rsidRDefault="00260CC5" w:rsidP="006A66BE">
      <w:pPr>
        <w:rPr>
          <w:b/>
        </w:rPr>
      </w:pPr>
      <w:r w:rsidRPr="00CE4602">
        <w:rPr>
          <w:b/>
        </w:rPr>
        <w:t>Inference:</w:t>
      </w:r>
    </w:p>
    <w:p w14:paraId="158F5961" w14:textId="27275504" w:rsidR="00C10839" w:rsidRDefault="00631766" w:rsidP="006A66BE">
      <w:r>
        <w:lastRenderedPageBreak/>
        <w:t>As explained above, the green energy contribution has a great impact on the overall solution feasibility and selection. A solution with optimum green energy contribution must be chosen considering reasonable tradeoff between long-term TCO, payback period and the CAPEX requirement.</w:t>
      </w:r>
      <w:r w:rsidR="003A785A">
        <w:t xml:space="preserve"> </w:t>
      </w:r>
      <w:r w:rsidR="00C10839">
        <w:t>As shown in the above illustration, the design with 60% green contribution has the 2</w:t>
      </w:r>
      <w:r w:rsidR="00C10839" w:rsidRPr="00C10839">
        <w:rPr>
          <w:vertAlign w:val="superscript"/>
        </w:rPr>
        <w:t>nd</w:t>
      </w:r>
      <w:r w:rsidR="00C10839">
        <w:t xml:space="preserve"> best long-term TCO and 3</w:t>
      </w:r>
      <w:r w:rsidR="00C10839" w:rsidRPr="00C10839">
        <w:rPr>
          <w:vertAlign w:val="superscript"/>
        </w:rPr>
        <w:t>rd</w:t>
      </w:r>
      <w:r w:rsidR="00C10839">
        <w:t xml:space="preserve"> best CAPEX requirement with almost similar payback period amongst the 5 green power designs analyzed.</w:t>
      </w:r>
    </w:p>
    <w:p w14:paraId="1E397128" w14:textId="60D6A279" w:rsidR="009C14CD" w:rsidRDefault="009C14CD" w:rsidP="00F230F4">
      <w:pPr>
        <w:pStyle w:val="Heading3"/>
      </w:pPr>
      <w:bookmarkStart w:id="20" w:name="_Toc393749901"/>
      <w:r>
        <w:t>Scenario I</w:t>
      </w:r>
      <w:r w:rsidR="00AF4951">
        <w:t>I</w:t>
      </w:r>
      <w:r>
        <w:t>: Site Load</w:t>
      </w:r>
      <w:bookmarkEnd w:id="20"/>
      <w:r>
        <w:t xml:space="preserve"> </w:t>
      </w:r>
    </w:p>
    <w:p w14:paraId="1648B896" w14:textId="77777777" w:rsidR="00CE4602" w:rsidRDefault="00CE4602" w:rsidP="00CE4602">
      <w:r w:rsidRPr="00EE3E79">
        <w:rPr>
          <w:b/>
        </w:rPr>
        <w:t>Scenario:</w:t>
      </w:r>
      <w:r>
        <w:t xml:space="preserve"> </w:t>
      </w:r>
    </w:p>
    <w:p w14:paraId="7EDE05D1" w14:textId="2D166B99" w:rsidR="00CE4602" w:rsidRPr="00EE3E79" w:rsidRDefault="00CE4602" w:rsidP="00CE4602">
      <w:r>
        <w:t>Th</w:t>
      </w:r>
      <w:r w:rsidR="007940C8">
        <w:t>is</w:t>
      </w:r>
      <w:r>
        <w:t xml:space="preserve"> scenario takes into consideration the effect of </w:t>
      </w:r>
      <w:r w:rsidR="007940C8">
        <w:t>changes in site load (increase or decrease)</w:t>
      </w:r>
      <w:r>
        <w:t xml:space="preserve"> on the overall design and feasibility metrics. Design and feasibility analysis is </w:t>
      </w:r>
      <w:r w:rsidR="00AE405F">
        <w:t xml:space="preserve">carried </w:t>
      </w:r>
      <w:r>
        <w:t xml:space="preserve">out for </w:t>
      </w:r>
      <w:r w:rsidR="007940C8">
        <w:t>load changes</w:t>
      </w:r>
      <w:r w:rsidR="0061795F">
        <w:t xml:space="preserve"> of</w:t>
      </w:r>
      <w:r w:rsidR="007940C8">
        <w:t xml:space="preserve"> -25%, +25% and +50%</w:t>
      </w:r>
      <w:r w:rsidR="0061795F">
        <w:t xml:space="preserve"> from the base load assumption</w:t>
      </w:r>
      <w:r>
        <w:t>.</w:t>
      </w:r>
      <w:r w:rsidR="00954DB3">
        <w:t xml:space="preserve"> The green contribution of 60% is assumed for all the designs in this scenario.</w:t>
      </w:r>
    </w:p>
    <w:p w14:paraId="4C0A80D0" w14:textId="77777777" w:rsidR="00CE4602" w:rsidRDefault="00CE4602" w:rsidP="00CE4602">
      <w:r w:rsidRPr="00055B9A">
        <w:rPr>
          <w:b/>
        </w:rPr>
        <w:t>Analysis:</w:t>
      </w:r>
      <w:r>
        <w:t xml:space="preserve"> </w:t>
      </w:r>
    </w:p>
    <w:p w14:paraId="39533E49" w14:textId="140C5E1D" w:rsidR="00954DB3" w:rsidRPr="003A785A" w:rsidRDefault="00E472DA" w:rsidP="00E472DA">
      <w:r>
        <w:t>The impact of site load on the overall feasibility of green power design is analyzed and compared to th</w:t>
      </w:r>
      <w:r w:rsidR="003A785A">
        <w:t>e base case CDC power solution. The graph below illustrates the TCO analysis of the green power designs for various load scenarios.</w:t>
      </w:r>
    </w:p>
    <w:p w14:paraId="63DED8E7" w14:textId="34AD8EFF" w:rsidR="00CE4602" w:rsidRDefault="00CE4602" w:rsidP="00CE4602">
      <w:pPr>
        <w:pStyle w:val="Caption"/>
      </w:pPr>
      <w:bookmarkStart w:id="21" w:name="_Toc393749916"/>
      <w:r>
        <w:t xml:space="preserve">Figure </w:t>
      </w:r>
      <w:fldSimple w:instr=" SEQ Figure \* ARABIC ">
        <w:r w:rsidR="00B34814">
          <w:rPr>
            <w:noProof/>
          </w:rPr>
          <w:t>4</w:t>
        </w:r>
      </w:fldSimple>
      <w:r>
        <w:t xml:space="preserve">: </w:t>
      </w:r>
      <w:r w:rsidR="00365530">
        <w:t>Feasibility (CDC vs. Green): Change (+/-) in Site Load –</w:t>
      </w:r>
      <w:r>
        <w:t xml:space="preserve"> </w:t>
      </w:r>
      <w:r w:rsidR="00365530">
        <w:t xml:space="preserve">impact </w:t>
      </w:r>
      <w:r>
        <w:t xml:space="preserve">on TCO and </w:t>
      </w:r>
      <w:r w:rsidR="00365530">
        <w:t>Payback</w:t>
      </w:r>
      <w:r w:rsidR="00F37938">
        <w:t xml:space="preserve"> (at constant green contribution)</w:t>
      </w:r>
      <w:bookmarkEnd w:id="21"/>
    </w:p>
    <w:p w14:paraId="7733F9CB" w14:textId="1C89230E" w:rsidR="00CE4602" w:rsidRPr="00A3175B" w:rsidRDefault="00365530" w:rsidP="00CE4602">
      <w:r>
        <w:rPr>
          <w:noProof/>
        </w:rPr>
        <w:drawing>
          <wp:inline distT="0" distB="0" distL="0" distR="0" wp14:anchorId="54129B50" wp14:editId="5782923D">
            <wp:extent cx="5486400" cy="3787200"/>
            <wp:effectExtent l="0" t="0" r="19050" b="2286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002E5D2" w14:textId="77777777" w:rsidR="00CE4602" w:rsidRDefault="00CE4602" w:rsidP="00CE4602"/>
    <w:p w14:paraId="707837DD" w14:textId="3EA85F1A" w:rsidR="003A785A" w:rsidRDefault="003A785A" w:rsidP="009B19DB">
      <w:r>
        <w:t xml:space="preserve">The load requirement of a site will directly affect the design and dimensioning of the green power solution and thereby, impact the overall feasibility metrics including the CAPEX, TCO, payback and the OPEX savings.  </w:t>
      </w:r>
    </w:p>
    <w:p w14:paraId="6A55AD89" w14:textId="77777777" w:rsidR="003A785A" w:rsidRDefault="003A785A" w:rsidP="009B19DB"/>
    <w:p w14:paraId="53195ECD" w14:textId="77777777" w:rsidR="009B19DB" w:rsidRDefault="009B19DB" w:rsidP="009B19DB">
      <w:r>
        <w:lastRenderedPageBreak/>
        <w:t>As illustrated in the above graph, lower the load better the long term TCO, CAPEX and payback for the green power design. The payback (or break-even) of the green designs for all the load scenarios above is between 2 and 3 years as compared to the base case CDC power solution.</w:t>
      </w:r>
    </w:p>
    <w:p w14:paraId="2BEE30C8" w14:textId="77777777" w:rsidR="009B19DB" w:rsidRDefault="009B19DB" w:rsidP="009B19DB"/>
    <w:p w14:paraId="2A31C9D9" w14:textId="0260BA15" w:rsidR="009B19DB" w:rsidRDefault="009B19DB" w:rsidP="00CE4602">
      <w:r>
        <w:t>Higher site loads will require higher CAPEX for the same level green energy contribution as compared to the lower site loads. The MNO must choose an optimum solution design based on CAPEX availability and payback expectations considering the overall feasibility metrics and associated benefits as presented above.</w:t>
      </w:r>
    </w:p>
    <w:p w14:paraId="53CF6675" w14:textId="77777777" w:rsidR="009B19DB" w:rsidRDefault="009B19DB" w:rsidP="00CE4602"/>
    <w:p w14:paraId="569A8480" w14:textId="0FCB1246" w:rsidR="009B19DB" w:rsidRDefault="00761DB4" w:rsidP="00CE4602">
      <w:r>
        <w:t xml:space="preserve">The below graph illustrates the TCO and payback analysis for </w:t>
      </w:r>
      <w:r w:rsidR="001C2F26">
        <w:t xml:space="preserve">the various load scenarios on a same green power design and CAPEX basis. </w:t>
      </w:r>
    </w:p>
    <w:p w14:paraId="021C0E75" w14:textId="0B9390F8" w:rsidR="00F37938" w:rsidRDefault="00F37938" w:rsidP="00F37938">
      <w:pPr>
        <w:pStyle w:val="Caption"/>
      </w:pPr>
      <w:bookmarkStart w:id="22" w:name="_Toc393749917"/>
      <w:r>
        <w:t xml:space="preserve">Figure </w:t>
      </w:r>
      <w:fldSimple w:instr=" SEQ Figure \* ARABIC ">
        <w:r w:rsidR="00B34814">
          <w:rPr>
            <w:noProof/>
          </w:rPr>
          <w:t>5</w:t>
        </w:r>
      </w:fldSimple>
      <w:r>
        <w:t xml:space="preserve">: Feasibility (CDC vs. Green): </w:t>
      </w:r>
      <w:r w:rsidRPr="00F37938">
        <w:t xml:space="preserve">Change (+/-) in Site Load – impact on TCO and Payback (at </w:t>
      </w:r>
      <w:r>
        <w:t>constant CAPEX</w:t>
      </w:r>
      <w:r w:rsidRPr="00F37938">
        <w:t>)</w:t>
      </w:r>
      <w:bookmarkEnd w:id="22"/>
    </w:p>
    <w:p w14:paraId="372D3BA8" w14:textId="195FAD99" w:rsidR="00F37938" w:rsidRPr="00F37938" w:rsidRDefault="009B19DB" w:rsidP="00F37938">
      <w:r>
        <w:rPr>
          <w:noProof/>
        </w:rPr>
        <w:drawing>
          <wp:inline distT="0" distB="0" distL="0" distR="0" wp14:anchorId="0693768A" wp14:editId="4409A388">
            <wp:extent cx="5486400" cy="3787200"/>
            <wp:effectExtent l="0" t="0" r="19050" b="2286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66B6C07" w14:textId="77777777" w:rsidR="00F37938" w:rsidRDefault="00F37938" w:rsidP="00CE4602"/>
    <w:p w14:paraId="7C88B715" w14:textId="19D059C3" w:rsidR="001C2F26" w:rsidRDefault="001C2F26" w:rsidP="00CE4602">
      <w:r>
        <w:t>As shown above, for a green power design and CAPEX, the payback and long term TCO vary with the site load. The higher site loads will have longer payback and higher TCO as compared to lower site loads for a same green power design dimensions.</w:t>
      </w:r>
    </w:p>
    <w:p w14:paraId="54AAF4E0" w14:textId="77777777" w:rsidR="00954DB3" w:rsidRDefault="00954DB3" w:rsidP="00CE4602"/>
    <w:p w14:paraId="2A37738B" w14:textId="77777777" w:rsidR="00CE4602" w:rsidRPr="00CE4602" w:rsidRDefault="00CE4602" w:rsidP="00CE4602">
      <w:pPr>
        <w:rPr>
          <w:b/>
        </w:rPr>
      </w:pPr>
      <w:r w:rsidRPr="00CE4602">
        <w:rPr>
          <w:b/>
        </w:rPr>
        <w:t>Inference:</w:t>
      </w:r>
    </w:p>
    <w:p w14:paraId="7FF5B69D" w14:textId="1B20BCA9" w:rsidR="007D48E8" w:rsidRDefault="00BB5577" w:rsidP="009C14CD">
      <w:r>
        <w:lastRenderedPageBreak/>
        <w:t xml:space="preserve">Sites with lower loads present a better feasibility for green power solutions as compared to sites with higher loads based on similar design assumptions. </w:t>
      </w:r>
      <w:r w:rsidR="007D48E8">
        <w:t>For the same CAPEX, sites with higher loads will have a longer payback, higher TCO, and lower GHG reduction.</w:t>
      </w:r>
    </w:p>
    <w:p w14:paraId="0CB1C6B5" w14:textId="77777777" w:rsidR="007D48E8" w:rsidRDefault="007D48E8" w:rsidP="009C14CD"/>
    <w:p w14:paraId="1CB6BBCA" w14:textId="3141147D" w:rsidR="009C14CD" w:rsidRDefault="007D48E8" w:rsidP="009C14CD">
      <w:r>
        <w:t>A</w:t>
      </w:r>
      <w:r w:rsidR="00BB5577">
        <w:t xml:space="preserve"> design analysis must be carried out for various design scenarios in order to find an optimum feasible green power solution with </w:t>
      </w:r>
      <w:r>
        <w:t>the right green contribution, payback, and TCO and CAPEX requirements.</w:t>
      </w:r>
    </w:p>
    <w:p w14:paraId="3ABCD339" w14:textId="72FB0477" w:rsidR="006A66BE" w:rsidRDefault="00B97CB4" w:rsidP="00F230F4">
      <w:pPr>
        <w:pStyle w:val="Heading3"/>
      </w:pPr>
      <w:bookmarkStart w:id="23" w:name="_Toc393749902"/>
      <w:r>
        <w:t xml:space="preserve">Scenario </w:t>
      </w:r>
      <w:r w:rsidR="006A66BE">
        <w:t>II</w:t>
      </w:r>
      <w:r w:rsidR="0005011B">
        <w:t>I</w:t>
      </w:r>
      <w:r w:rsidR="006A66BE">
        <w:t xml:space="preserve">: </w:t>
      </w:r>
      <w:r w:rsidR="006F755C">
        <w:t>Green Resources</w:t>
      </w:r>
      <w:bookmarkEnd w:id="23"/>
    </w:p>
    <w:p w14:paraId="1B7733FB" w14:textId="12EA1004" w:rsidR="006A66BE" w:rsidRDefault="000E1E36" w:rsidP="006A66BE">
      <w:r w:rsidRPr="000E1E36">
        <w:rPr>
          <w:b/>
        </w:rPr>
        <w:t>Scenario:</w:t>
      </w:r>
      <w:r w:rsidR="00C937E5">
        <w:t xml:space="preserve"> </w:t>
      </w:r>
    </w:p>
    <w:p w14:paraId="387517E9" w14:textId="03F6E411" w:rsidR="00C937E5" w:rsidRDefault="00F956A2" w:rsidP="006A66BE">
      <w:r>
        <w:t>This scenario runs on the available green resources and its impact on the green power feasibility metrics. In this example we consider a single solar design and dimensions for various solar radiation conditions – 3.0, 4.5, 5.5 and 6.5 kWh per sq. m. per day.</w:t>
      </w:r>
    </w:p>
    <w:p w14:paraId="53717BEB" w14:textId="77777777" w:rsidR="000E1E36" w:rsidRDefault="000E1E36" w:rsidP="006A66BE"/>
    <w:p w14:paraId="63297F33" w14:textId="77777777" w:rsidR="000E1E36" w:rsidRDefault="000E1E36" w:rsidP="006A66BE">
      <w:r w:rsidRPr="000E1E36">
        <w:rPr>
          <w:b/>
        </w:rPr>
        <w:t>Analysis:</w:t>
      </w:r>
      <w:r>
        <w:t xml:space="preserve"> </w:t>
      </w:r>
    </w:p>
    <w:p w14:paraId="6BEE6DBA" w14:textId="0E019521" w:rsidR="008907C9" w:rsidRDefault="006F4042" w:rsidP="006A66BE">
      <w:r>
        <w:t xml:space="preserve">The green resource availability has a considerable impact on TCO and payback of a particular green power solution. As shown in the below illustration, a site with higher solar radiation will have better payback and TCO for the same solar design as compared to a site with poor solar radiation.  </w:t>
      </w:r>
    </w:p>
    <w:p w14:paraId="01FCC6A7" w14:textId="77777777" w:rsidR="008907C9" w:rsidRDefault="008907C9" w:rsidP="008907C9">
      <w:pPr>
        <w:pStyle w:val="Caption"/>
      </w:pPr>
      <w:bookmarkStart w:id="24" w:name="_Toc393749918"/>
      <w:r>
        <w:t xml:space="preserve">Figure </w:t>
      </w:r>
      <w:fldSimple w:instr=" SEQ Figure \* ARABIC ">
        <w:r w:rsidR="00B34814">
          <w:rPr>
            <w:noProof/>
          </w:rPr>
          <w:t>6</w:t>
        </w:r>
      </w:fldSimple>
      <w:r>
        <w:t>: Feasibility (CDC vs. Green): Varying solar radiation – impact on TCO and Payback</w:t>
      </w:r>
      <w:bookmarkEnd w:id="24"/>
    </w:p>
    <w:p w14:paraId="37A2D308" w14:textId="005B51DC" w:rsidR="008907C9" w:rsidRDefault="00F016DE" w:rsidP="008907C9">
      <w:pPr>
        <w:pStyle w:val="Caption"/>
      </w:pPr>
      <w:r>
        <w:rPr>
          <w:noProof/>
        </w:rPr>
        <w:drawing>
          <wp:inline distT="0" distB="0" distL="0" distR="0" wp14:anchorId="58F38B6A" wp14:editId="660C762C">
            <wp:extent cx="5486400" cy="3468858"/>
            <wp:effectExtent l="0" t="0" r="19050" b="1778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F37C364" w14:textId="77777777" w:rsidR="006F4042" w:rsidRDefault="006F4042" w:rsidP="006F4042"/>
    <w:p w14:paraId="277AEB39" w14:textId="74383C07" w:rsidR="000822BF" w:rsidRDefault="006F4042" w:rsidP="007A5196">
      <w:r>
        <w:t xml:space="preserve">For the same design dimensions, a site with better renewable resources will have higher green energy contribution compared to a site with poor renewable resources. </w:t>
      </w:r>
    </w:p>
    <w:p w14:paraId="2C63DE97" w14:textId="77777777" w:rsidR="004A7569" w:rsidRDefault="004A7569" w:rsidP="007A5196"/>
    <w:p w14:paraId="3EE85EAB" w14:textId="7384AB6C" w:rsidR="000E1E36" w:rsidRDefault="000E1E36" w:rsidP="007A5196">
      <w:pPr>
        <w:rPr>
          <w:b/>
        </w:rPr>
      </w:pPr>
      <w:r w:rsidRPr="000E1E36">
        <w:rPr>
          <w:b/>
        </w:rPr>
        <w:lastRenderedPageBreak/>
        <w:t>Inference:</w:t>
      </w:r>
    </w:p>
    <w:p w14:paraId="3F6E232C" w14:textId="07D8034E" w:rsidR="00A37758" w:rsidRDefault="00D53C11" w:rsidP="007A5196">
      <w:r>
        <w:t>Better the renewable resource availability, higher the green contribution</w:t>
      </w:r>
      <w:r w:rsidR="00B358D2">
        <w:t>, lower the dependence on diesel power</w:t>
      </w:r>
      <w:r>
        <w:t xml:space="preserve"> and better the feasibility </w:t>
      </w:r>
      <w:r w:rsidR="00B358D2">
        <w:t xml:space="preserve">metrics </w:t>
      </w:r>
      <w:r>
        <w:t xml:space="preserve">for the same renewable design. </w:t>
      </w:r>
    </w:p>
    <w:p w14:paraId="05037259" w14:textId="77777777" w:rsidR="00BD1183" w:rsidRPr="000E1E36" w:rsidRDefault="00BD1183" w:rsidP="007A5196"/>
    <w:p w14:paraId="30B03E7E" w14:textId="77777777" w:rsidR="000822BF" w:rsidRDefault="000822BF" w:rsidP="000822BF">
      <w:pPr>
        <w:pStyle w:val="Heading2"/>
      </w:pPr>
      <w:bookmarkStart w:id="25" w:name="_Toc393749903"/>
      <w:r>
        <w:t>Case 2 (Tower Co): Feasibility of Green power for Multi-tenant scenario</w:t>
      </w:r>
      <w:bookmarkEnd w:id="25"/>
    </w:p>
    <w:p w14:paraId="0497FF42" w14:textId="3992CB05" w:rsidR="00171E81" w:rsidRDefault="00171E81" w:rsidP="00171E81">
      <w:r>
        <w:t>This section presents the analysis of green power feasibility and various design scenarios for a multi-tenant case of a Tower Co. As in the single tenant case, the multi-tenant case also considers a base example of DG-battery hybrid (CDC) solution for comparative feasibility analysis. In each scenario, Solar PV is considered as the green power component in the design.</w:t>
      </w:r>
    </w:p>
    <w:p w14:paraId="5EE7565D" w14:textId="1EBABECF" w:rsidR="00171E81" w:rsidRDefault="00AE60B1" w:rsidP="00AE60B1">
      <w:pPr>
        <w:pStyle w:val="Caption"/>
      </w:pPr>
      <w:bookmarkStart w:id="26" w:name="_Toc393749926"/>
      <w:r>
        <w:t xml:space="preserve">Table </w:t>
      </w:r>
      <w:fldSimple w:instr=" SEQ Table \* ARABIC ">
        <w:r>
          <w:rPr>
            <w:noProof/>
          </w:rPr>
          <w:t>3</w:t>
        </w:r>
      </w:fldSimple>
      <w:r>
        <w:t>: Design Assumptions – Multi tenant</w:t>
      </w:r>
      <w:bookmarkEnd w:id="26"/>
    </w:p>
    <w:tbl>
      <w:tblPr>
        <w:tblW w:w="481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4535"/>
        <w:gridCol w:w="4000"/>
      </w:tblGrid>
      <w:tr w:rsidR="00171E81" w:rsidRPr="00BE6A26" w14:paraId="6FDBD710" w14:textId="77777777" w:rsidTr="00D764D9">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64897727" w14:textId="77777777" w:rsidR="00171E81" w:rsidRDefault="00171E81" w:rsidP="00D764D9">
            <w:pPr>
              <w:jc w:val="left"/>
            </w:pPr>
          </w:p>
        </w:tc>
        <w:tc>
          <w:tcPr>
            <w:tcW w:w="2343" w:type="pct"/>
            <w:tcBorders>
              <w:top w:val="single" w:sz="4" w:space="0" w:color="FFFFFF" w:themeColor="background1"/>
              <w:left w:val="single" w:sz="4" w:space="0" w:color="FFFFFF" w:themeColor="background1"/>
              <w:bottom w:val="single" w:sz="4" w:space="0" w:color="FFFFFF" w:themeColor="background1"/>
              <w:right w:val="single" w:sz="4" w:space="0" w:color="A6A6A6" w:themeColor="background1" w:themeShade="A6"/>
            </w:tcBorders>
            <w:shd w:val="clear" w:color="auto" w:fill="71AC7A"/>
            <w:vAlign w:val="center"/>
          </w:tcPr>
          <w:p w14:paraId="08ACFFBE" w14:textId="77777777" w:rsidR="00171E81" w:rsidRPr="00BE6A26" w:rsidRDefault="00171E81" w:rsidP="00D764D9">
            <w:pPr>
              <w:jc w:val="left"/>
              <w:rPr>
                <w:color w:val="FFFFFF" w:themeColor="background1"/>
              </w:rPr>
            </w:pPr>
          </w:p>
        </w:tc>
      </w:tr>
      <w:tr w:rsidR="00171E81" w14:paraId="1332CD74" w14:textId="77777777" w:rsidTr="00D764D9">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5FD6861C" w14:textId="77777777" w:rsidR="00171E81" w:rsidRPr="00BE6A26" w:rsidRDefault="00171E81" w:rsidP="00D764D9">
            <w:pPr>
              <w:jc w:val="left"/>
              <w:rPr>
                <w:color w:val="FFFFFF" w:themeColor="background1"/>
              </w:rPr>
            </w:pPr>
            <w:r>
              <w:rPr>
                <w:color w:val="FFFFFF" w:themeColor="background1"/>
              </w:rPr>
              <w:t>Site Load per tenant</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3E3BF68" w14:textId="77777777" w:rsidR="00171E81" w:rsidRDefault="00171E81" w:rsidP="00D764D9">
            <w:pPr>
              <w:pStyle w:val="ListParagraph"/>
              <w:ind w:left="283"/>
              <w:jc w:val="left"/>
            </w:pPr>
            <w:r>
              <w:t>1.5 kW</w:t>
            </w:r>
          </w:p>
        </w:tc>
      </w:tr>
      <w:tr w:rsidR="00171E81" w14:paraId="1432F2B8" w14:textId="77777777" w:rsidTr="00D764D9">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1F00985C" w14:textId="77777777" w:rsidR="00171E81" w:rsidRPr="00BE6A26" w:rsidRDefault="00171E81" w:rsidP="00D764D9">
            <w:pPr>
              <w:jc w:val="left"/>
              <w:rPr>
                <w:color w:val="FFFFFF" w:themeColor="background1"/>
              </w:rPr>
            </w:pPr>
            <w:r>
              <w:rPr>
                <w:color w:val="FFFFFF" w:themeColor="background1"/>
              </w:rPr>
              <w:t>DG run hours (CDC)</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4E1C441" w14:textId="77777777" w:rsidR="00171E81" w:rsidRDefault="00171E81" w:rsidP="00D764D9">
            <w:pPr>
              <w:pStyle w:val="ListParagraph"/>
              <w:ind w:left="283"/>
              <w:jc w:val="left"/>
            </w:pPr>
            <w:r>
              <w:t>12 hours</w:t>
            </w:r>
          </w:p>
        </w:tc>
      </w:tr>
      <w:tr w:rsidR="00171E81" w14:paraId="39346902" w14:textId="77777777" w:rsidTr="00D764D9">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01962F20" w14:textId="77777777" w:rsidR="00171E81" w:rsidRPr="00BE6A26" w:rsidRDefault="00171E81" w:rsidP="00D764D9">
            <w:pPr>
              <w:jc w:val="left"/>
              <w:rPr>
                <w:color w:val="FFFFFF" w:themeColor="background1"/>
              </w:rPr>
            </w:pPr>
            <w:r>
              <w:rPr>
                <w:color w:val="FFFFFF" w:themeColor="background1"/>
              </w:rPr>
              <w:t>Battery autonomy (CDC)</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99A8D87" w14:textId="77777777" w:rsidR="00171E81" w:rsidRDefault="00171E81" w:rsidP="00D764D9">
            <w:pPr>
              <w:pStyle w:val="ListParagraph"/>
              <w:ind w:left="283"/>
              <w:jc w:val="left"/>
            </w:pPr>
            <w:r>
              <w:t>6 hours</w:t>
            </w:r>
          </w:p>
        </w:tc>
      </w:tr>
      <w:tr w:rsidR="00171E81" w14:paraId="2C5003B0" w14:textId="77777777" w:rsidTr="00D764D9">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2AAD456C" w14:textId="77777777" w:rsidR="00171E81" w:rsidRDefault="00171E81" w:rsidP="00D764D9">
            <w:pPr>
              <w:jc w:val="left"/>
              <w:rPr>
                <w:color w:val="FFFFFF" w:themeColor="background1"/>
              </w:rPr>
            </w:pPr>
            <w:r>
              <w:rPr>
                <w:color w:val="FFFFFF" w:themeColor="background1"/>
              </w:rPr>
              <w:t>DG Capacity (@ 0.8pf)</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44D15F4" w14:textId="77777777" w:rsidR="00171E81" w:rsidRDefault="00171E81" w:rsidP="00D764D9">
            <w:pPr>
              <w:pStyle w:val="ListParagraph"/>
              <w:ind w:left="283"/>
              <w:jc w:val="left"/>
            </w:pPr>
            <w:r>
              <w:t>15 KVA</w:t>
            </w:r>
          </w:p>
        </w:tc>
      </w:tr>
      <w:tr w:rsidR="00171E81" w14:paraId="2015F7EB" w14:textId="77777777" w:rsidTr="00D764D9">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14AA4CCF" w14:textId="77777777" w:rsidR="00171E81" w:rsidRDefault="00171E81" w:rsidP="00D764D9">
            <w:pPr>
              <w:jc w:val="left"/>
              <w:rPr>
                <w:color w:val="FFFFFF" w:themeColor="background1"/>
              </w:rPr>
            </w:pPr>
            <w:r>
              <w:rPr>
                <w:color w:val="FFFFFF" w:themeColor="background1"/>
              </w:rPr>
              <w:t>DG Loading (avg. % of Capacity)</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4515AD1" w14:textId="77777777" w:rsidR="00171E81" w:rsidRDefault="00171E81" w:rsidP="00D764D9">
            <w:pPr>
              <w:pStyle w:val="ListParagraph"/>
              <w:ind w:left="283"/>
              <w:jc w:val="left"/>
            </w:pPr>
            <w:r>
              <w:t>70%</w:t>
            </w:r>
          </w:p>
        </w:tc>
      </w:tr>
      <w:tr w:rsidR="00171E81" w14:paraId="03710733" w14:textId="77777777" w:rsidTr="00D764D9">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05D4ACBE" w14:textId="77777777" w:rsidR="00171E81" w:rsidRDefault="00171E81" w:rsidP="00D764D9">
            <w:pPr>
              <w:jc w:val="left"/>
              <w:rPr>
                <w:color w:val="FFFFFF" w:themeColor="background1"/>
              </w:rPr>
            </w:pPr>
            <w:r>
              <w:rPr>
                <w:color w:val="FFFFFF" w:themeColor="background1"/>
              </w:rPr>
              <w:t>Solar Radiation</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AF3BB9B" w14:textId="77777777" w:rsidR="00171E81" w:rsidRDefault="00171E81" w:rsidP="00D764D9">
            <w:pPr>
              <w:pStyle w:val="ListParagraph"/>
              <w:ind w:left="283"/>
              <w:jc w:val="left"/>
            </w:pPr>
            <w:r>
              <w:t>5.5 kWh/m2/day</w:t>
            </w:r>
          </w:p>
        </w:tc>
      </w:tr>
      <w:tr w:rsidR="00171E81" w14:paraId="4442E64B" w14:textId="77777777" w:rsidTr="00D764D9">
        <w:trPr>
          <w:trHeight w:val="381"/>
        </w:trPr>
        <w:tc>
          <w:tcPr>
            <w:tcW w:w="265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222DD37F" w14:textId="77777777" w:rsidR="00171E81" w:rsidRPr="00BE6A26" w:rsidRDefault="00171E81" w:rsidP="00D764D9">
            <w:pPr>
              <w:jc w:val="left"/>
              <w:rPr>
                <w:color w:val="FFFFFF" w:themeColor="background1"/>
              </w:rPr>
            </w:pPr>
            <w:r>
              <w:rPr>
                <w:color w:val="FFFFFF" w:themeColor="background1"/>
              </w:rPr>
              <w:t>Battery Autonomy (Green)</w:t>
            </w:r>
          </w:p>
        </w:tc>
        <w:tc>
          <w:tcPr>
            <w:tcW w:w="234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31769CE" w14:textId="77777777" w:rsidR="00171E81" w:rsidRDefault="00171E81" w:rsidP="00D764D9">
            <w:pPr>
              <w:pStyle w:val="ListParagraph"/>
              <w:ind w:left="283"/>
              <w:jc w:val="left"/>
            </w:pPr>
            <w:r>
              <w:t>24 hours</w:t>
            </w:r>
          </w:p>
        </w:tc>
      </w:tr>
    </w:tbl>
    <w:p w14:paraId="558998A5" w14:textId="77777777" w:rsidR="00171E81" w:rsidRDefault="00171E81" w:rsidP="00171E81"/>
    <w:p w14:paraId="6BE923F2" w14:textId="472E5BC6" w:rsidR="00171E81" w:rsidRDefault="00171E81" w:rsidP="00171E81">
      <w:r>
        <w:t>The technical design and dimensioning of green power system is calculated based on the above basic assumptions for a single tenant site. The designs are developed for various technical scenarios including varying green energy contribution</w:t>
      </w:r>
      <w:r w:rsidR="0062354F">
        <w:t xml:space="preserve"> and tenancy scenarios, </w:t>
      </w:r>
      <w:r>
        <w:t>and then, each scenario is analyzed for commercial feasibility considering the long-term TCO term and payback.  A comparative analysis is presented along with insights on feasibility of alternative power systems.</w:t>
      </w:r>
    </w:p>
    <w:p w14:paraId="6A14E5E9" w14:textId="77777777" w:rsidR="00171E81" w:rsidRPr="00171E81" w:rsidRDefault="00171E81" w:rsidP="00171E81">
      <w:pPr>
        <w:rPr>
          <w:lang w:val="en-GB"/>
        </w:rPr>
      </w:pPr>
    </w:p>
    <w:p w14:paraId="2DF16C0C" w14:textId="0F254C42" w:rsidR="000822BF" w:rsidRDefault="00944E3C" w:rsidP="00781530">
      <w:pPr>
        <w:pStyle w:val="Heading3"/>
      </w:pPr>
      <w:bookmarkStart w:id="27" w:name="_Toc393749904"/>
      <w:r>
        <w:t>Scenario I:</w:t>
      </w:r>
      <w:r w:rsidR="00781530">
        <w:t xml:space="preserve"> Green Energy Contribution</w:t>
      </w:r>
      <w:bookmarkEnd w:id="27"/>
    </w:p>
    <w:p w14:paraId="24EB38ED" w14:textId="66E1D779" w:rsidR="00781530" w:rsidRPr="00CF76B2" w:rsidRDefault="0062354F" w:rsidP="00781530">
      <w:pPr>
        <w:rPr>
          <w:b/>
        </w:rPr>
      </w:pPr>
      <w:r w:rsidRPr="00CF76B2">
        <w:rPr>
          <w:b/>
        </w:rPr>
        <w:t>Scenario</w:t>
      </w:r>
      <w:r w:rsidR="00CF76B2" w:rsidRPr="00CF76B2">
        <w:rPr>
          <w:b/>
        </w:rPr>
        <w:t>:</w:t>
      </w:r>
    </w:p>
    <w:p w14:paraId="01141B4C" w14:textId="23DD1301" w:rsidR="00CF76B2" w:rsidRDefault="00B32EEB" w:rsidP="00781530">
      <w:r>
        <w:t>The scenario demonstrates the importance of optimum green energy contribution as part of the overall green power design approach in a multitenant scenario for Tower Cos. Here we consider a two-tenant scenario and analyze the effect of varying green contributions on the overall design and feasibility metrics.</w:t>
      </w:r>
    </w:p>
    <w:p w14:paraId="7B67DA05" w14:textId="77777777" w:rsidR="00CF76B2" w:rsidRDefault="00CF76B2" w:rsidP="00781530"/>
    <w:p w14:paraId="5A23E07C" w14:textId="05D1459A" w:rsidR="00CF76B2" w:rsidRPr="00CF76B2" w:rsidRDefault="00CF76B2" w:rsidP="00781530">
      <w:pPr>
        <w:rPr>
          <w:b/>
        </w:rPr>
      </w:pPr>
      <w:r w:rsidRPr="00CF76B2">
        <w:rPr>
          <w:b/>
        </w:rPr>
        <w:t>Analysis:</w:t>
      </w:r>
    </w:p>
    <w:p w14:paraId="75DB9BB3" w14:textId="21E12CEE" w:rsidR="001F1CC3" w:rsidRDefault="001F1CC3" w:rsidP="00781530">
      <w:r>
        <w:t xml:space="preserve">The analysis below presents an approach to understanding the feasibility of green power for multi-tenant scenario. The graph below illustrates the long term TCO comparison for various green power contribution scenarios for a </w:t>
      </w:r>
      <w:r w:rsidR="00261F0D">
        <w:t>2</w:t>
      </w:r>
      <w:r>
        <w:t>-tenant case.</w:t>
      </w:r>
    </w:p>
    <w:p w14:paraId="1E09822C" w14:textId="77777777" w:rsidR="001F1CC3" w:rsidRDefault="001F1CC3" w:rsidP="001F1CC3">
      <w:pPr>
        <w:pStyle w:val="Caption"/>
      </w:pPr>
      <w:bookmarkStart w:id="28" w:name="_Toc393749919"/>
      <w:r>
        <w:lastRenderedPageBreak/>
        <w:t xml:space="preserve">Figure </w:t>
      </w:r>
      <w:fldSimple w:instr=" SEQ Figure \* ARABIC ">
        <w:r w:rsidR="00B34814">
          <w:rPr>
            <w:noProof/>
          </w:rPr>
          <w:t>7</w:t>
        </w:r>
      </w:fldSimple>
      <w:r>
        <w:t>: Multi-tenant Feasibility (CDC vs. Green): Varying green contribution – impact on TCO and Payback</w:t>
      </w:r>
      <w:bookmarkEnd w:id="28"/>
    </w:p>
    <w:p w14:paraId="4B054293" w14:textId="2B5FD22C" w:rsidR="001F1CC3" w:rsidRDefault="00F430AB" w:rsidP="001F1CC3">
      <w:r>
        <w:rPr>
          <w:noProof/>
        </w:rPr>
        <w:drawing>
          <wp:inline distT="0" distB="0" distL="0" distR="0" wp14:anchorId="160EA81F" wp14:editId="2ECB4610">
            <wp:extent cx="5486400" cy="3794400"/>
            <wp:effectExtent l="0" t="0" r="19050" b="1587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74BA722" w14:textId="77777777" w:rsidR="000079EB" w:rsidRDefault="000079EB" w:rsidP="00781530"/>
    <w:p w14:paraId="3C579C97" w14:textId="67316A05" w:rsidR="000079EB" w:rsidRDefault="000A626A" w:rsidP="00781530">
      <w:r>
        <w:t xml:space="preserve">From the figure above, it can be observed that the payback </w:t>
      </w:r>
      <w:r w:rsidR="00F13819">
        <w:t xml:space="preserve">for green scenarios as compared to CDC solution </w:t>
      </w:r>
      <w:r>
        <w:t>varies over a long range from nearly 4 years to more than 8 years. It is also observed th</w:t>
      </w:r>
      <w:r w:rsidR="00F13819">
        <w:t>at, the differential of long-</w:t>
      </w:r>
      <w:r>
        <w:t xml:space="preserve">term TCO </w:t>
      </w:r>
      <w:r w:rsidR="00F13819">
        <w:t xml:space="preserve">between scenarios </w:t>
      </w:r>
      <w:r>
        <w:t>is not very significant as</w:t>
      </w:r>
      <w:r w:rsidR="00F13819">
        <w:t xml:space="preserve"> against </w:t>
      </w:r>
      <w:r w:rsidR="00414BBF">
        <w:t>the</w:t>
      </w:r>
      <w:r>
        <w:t xml:space="preserve"> single tenant </w:t>
      </w:r>
      <w:r w:rsidR="00F13819">
        <w:t>case</w:t>
      </w:r>
      <w:r w:rsidR="00414BBF">
        <w:t xml:space="preserve"> where the long-term TCO differential was quite significant when compared to the base CDC scenario</w:t>
      </w:r>
      <w:r>
        <w:t>.</w:t>
      </w:r>
    </w:p>
    <w:p w14:paraId="6DBD3D5F" w14:textId="77777777" w:rsidR="00414BBF" w:rsidRDefault="00414BBF" w:rsidP="00781530"/>
    <w:p w14:paraId="0FE85382" w14:textId="0DC88BB1" w:rsidR="00414BBF" w:rsidRDefault="00016630" w:rsidP="00781530">
      <w:r>
        <w:t xml:space="preserve">As shown above, </w:t>
      </w:r>
      <w:r w:rsidR="00037C1D">
        <w:t xml:space="preserve">in comparison to the CDC solution, </w:t>
      </w:r>
      <w:r>
        <w:t xml:space="preserve">the design with 80% green contribution offers the best long-term TCO and </w:t>
      </w:r>
      <w:r w:rsidR="00037C1D">
        <w:t xml:space="preserve">a </w:t>
      </w:r>
      <w:r>
        <w:t>payback</w:t>
      </w:r>
      <w:r w:rsidR="00037C1D">
        <w:t xml:space="preserve"> of less than 4 </w:t>
      </w:r>
      <w:proofErr w:type="gramStart"/>
      <w:r w:rsidR="00037C1D">
        <w:t>years</w:t>
      </w:r>
      <w:r>
        <w:t xml:space="preserve"> </w:t>
      </w:r>
      <w:r w:rsidR="00037C1D">
        <w:t>which</w:t>
      </w:r>
      <w:proofErr w:type="gramEnd"/>
      <w:r w:rsidR="00037C1D">
        <w:t xml:space="preserve"> is better than </w:t>
      </w:r>
      <w:r>
        <w:t xml:space="preserve">other green power designs. </w:t>
      </w:r>
      <w:r w:rsidR="00003550">
        <w:t>However, this solution would require a huge CAPEX of around 75,000 US$ which may come as constraint for deployment of this green power solution. Similarly, the green design with 100% green energy contribution may not a feasible option given the huge CAPEX requirement of over 100,000 US$.</w:t>
      </w:r>
    </w:p>
    <w:p w14:paraId="6B5F0FD1" w14:textId="77777777" w:rsidR="00003550" w:rsidRDefault="00003550" w:rsidP="00781530"/>
    <w:p w14:paraId="195C0A22" w14:textId="17197BCA" w:rsidR="00003550" w:rsidRDefault="00003550" w:rsidP="00781530">
      <w:r>
        <w:t>However</w:t>
      </w:r>
      <w:r w:rsidR="00D036D1">
        <w:t xml:space="preserve">, with a </w:t>
      </w:r>
      <w:proofErr w:type="gramStart"/>
      <w:r w:rsidR="00D036D1">
        <w:t>long term</w:t>
      </w:r>
      <w:proofErr w:type="gramEnd"/>
      <w:r w:rsidR="00D036D1">
        <w:t xml:space="preserve"> outlook, a trade-off between CAPEX, TCO and payback can be arrived so that the benefits of green power solution can be realized as compared to the diesel based CDC solution. For example, as shown in the above illustration, the design with 40% green contribution has a moderate CAPEX of 55,000 US$ and a better long-term TCO with payback of approximately 5 years as compared to CDC solution. </w:t>
      </w:r>
    </w:p>
    <w:p w14:paraId="56856673" w14:textId="77777777" w:rsidR="00261F0D" w:rsidRDefault="00261F0D" w:rsidP="00781530"/>
    <w:p w14:paraId="56B82843" w14:textId="78A8DBA0" w:rsidR="00261F0D" w:rsidRDefault="00261F0D" w:rsidP="00781530">
      <w:r>
        <w:t xml:space="preserve">The decision to invest in green power with a </w:t>
      </w:r>
      <w:proofErr w:type="gramStart"/>
      <w:r>
        <w:t>long term</w:t>
      </w:r>
      <w:proofErr w:type="gramEnd"/>
      <w:r>
        <w:t xml:space="preserve"> outlook will also depend on a crucial infrastructure scenario of possible grid power extension over the years. In an optimistic scenario of grid extension within short term of within 3-5 years, it may not make a case for huge investments in green power.</w:t>
      </w:r>
    </w:p>
    <w:p w14:paraId="2AB91347" w14:textId="7C2A7518" w:rsidR="00CF76B2" w:rsidRDefault="001F1CC3" w:rsidP="00781530">
      <w:r>
        <w:lastRenderedPageBreak/>
        <w:t xml:space="preserve"> </w:t>
      </w:r>
    </w:p>
    <w:p w14:paraId="19255A72" w14:textId="490B7E1D" w:rsidR="00CF76B2" w:rsidRPr="00CF76B2" w:rsidRDefault="00CF76B2" w:rsidP="00781530">
      <w:pPr>
        <w:rPr>
          <w:b/>
        </w:rPr>
      </w:pPr>
      <w:r w:rsidRPr="00CF76B2">
        <w:rPr>
          <w:b/>
        </w:rPr>
        <w:t>Inference:</w:t>
      </w:r>
    </w:p>
    <w:p w14:paraId="6DC76DD7" w14:textId="36B2775B" w:rsidR="00D02973" w:rsidRDefault="00D02973" w:rsidP="00D02973">
      <w:r>
        <w:t>The green power design for a multitenant scenario is very tricky. At the beginning it may appear that green power may not be feasible for multi-tenant situations of a Tower Company. However, as demonstrated above, a design approach looking at optimum green contributions and a long-term outlook will give a better visibility to the feasibility of green power for multi-tenant context.</w:t>
      </w:r>
    </w:p>
    <w:p w14:paraId="77999E6B" w14:textId="77777777" w:rsidR="009970A5" w:rsidRDefault="009970A5" w:rsidP="00D02973"/>
    <w:p w14:paraId="5B5F7032" w14:textId="092CC3AA" w:rsidR="009970A5" w:rsidRDefault="00517866" w:rsidP="00D02973">
      <w:r>
        <w:t>A tower company should take a long-term view of green power feasibility in order to make green power a feasible and sustainable energy choice for providing power to their tenants.</w:t>
      </w:r>
      <w:r w:rsidR="00855FEC">
        <w:t xml:space="preserve"> The contract tenure with MNOs and </w:t>
      </w:r>
      <w:r w:rsidR="00AE132A">
        <w:t xml:space="preserve">the </w:t>
      </w:r>
      <w:r w:rsidR="00855FEC">
        <w:t xml:space="preserve">long-term tenancy growth </w:t>
      </w:r>
      <w:r w:rsidR="00AE132A">
        <w:t xml:space="preserve">outlook </w:t>
      </w:r>
      <w:r w:rsidR="00855FEC">
        <w:t>will have a great impact on the investments in green power from a Tower Co.</w:t>
      </w:r>
    </w:p>
    <w:p w14:paraId="4867D786" w14:textId="77777777" w:rsidR="00CF76B2" w:rsidRPr="00781530" w:rsidRDefault="00CF76B2" w:rsidP="00781530"/>
    <w:p w14:paraId="2B85DE40" w14:textId="5E6B6A61" w:rsidR="00944E3C" w:rsidRDefault="0045159C" w:rsidP="007A5196">
      <w:r>
        <w:rPr>
          <w:noProof/>
        </w:rPr>
        <w:drawing>
          <wp:anchor distT="0" distB="0" distL="114300" distR="114300" simplePos="0" relativeHeight="251662336" behindDoc="0" locked="0" layoutInCell="1" allowOverlap="1" wp14:anchorId="2CEEFF80" wp14:editId="01003A94">
            <wp:simplePos x="0" y="0"/>
            <wp:positionH relativeFrom="column">
              <wp:posOffset>18415</wp:posOffset>
            </wp:positionH>
            <wp:positionV relativeFrom="paragraph">
              <wp:posOffset>761365</wp:posOffset>
            </wp:positionV>
            <wp:extent cx="5476875" cy="3230880"/>
            <wp:effectExtent l="0" t="0" r="9525" b="7620"/>
            <wp:wrapTopAndBottom/>
            <wp:docPr id="24" name="Picture 24" descr="C:\Users\satish.kumar\Dropbox\Madagascar - Site Visits\20121216_095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tish.kumar\Dropbox\Madagascar - Site Visits\20121216_095114.jpg"/>
                    <pic:cNvPicPr>
                      <a:picLocks noChangeAspect="1" noChangeArrowheads="1"/>
                    </pic:cNvPicPr>
                  </pic:nvPicPr>
                  <pic:blipFill rotWithShape="1">
                    <a:blip r:embed="rId22">
                      <a:extLst>
                        <a:ext uri="{28A0092B-C50C-407E-A947-70E740481C1C}">
                          <a14:useLocalDpi xmlns:a14="http://schemas.microsoft.com/office/drawing/2010/main" val="0"/>
                        </a:ext>
                      </a:extLst>
                    </a:blip>
                    <a:srcRect/>
                    <a:stretch/>
                  </pic:blipFill>
                  <pic:spPr bwMode="auto">
                    <a:xfrm>
                      <a:off x="0" y="0"/>
                      <a:ext cx="5476875" cy="3230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51E">
        <w:t xml:space="preserve">Hence, green power investments for a Tower Co should have a </w:t>
      </w:r>
      <w:proofErr w:type="gramStart"/>
      <w:r w:rsidR="007D651E">
        <w:t>long term</w:t>
      </w:r>
      <w:proofErr w:type="gramEnd"/>
      <w:r w:rsidR="007D651E">
        <w:t xml:space="preserve"> view of at least 5 years and an optimum design selection in order to achieve a lower long-term TCO, lower energ</w:t>
      </w:r>
      <w:r w:rsidR="003D3FCB">
        <w:t>y costs, and environment friendly sustainable energy operations.</w:t>
      </w:r>
    </w:p>
    <w:p w14:paraId="0946ED09" w14:textId="77777777" w:rsidR="000A7107" w:rsidRDefault="000A7107" w:rsidP="007A5196"/>
    <w:p w14:paraId="4847E4E5" w14:textId="465D827B" w:rsidR="00D036D1" w:rsidRDefault="007047DB" w:rsidP="007047DB">
      <w:pPr>
        <w:pStyle w:val="Heading3"/>
      </w:pPr>
      <w:bookmarkStart w:id="29" w:name="_Toc393749905"/>
      <w:r>
        <w:t>Scenario II: Tenancy</w:t>
      </w:r>
      <w:bookmarkEnd w:id="29"/>
    </w:p>
    <w:p w14:paraId="7B672945" w14:textId="6CAABDA9" w:rsidR="007047DB" w:rsidRPr="00964049" w:rsidRDefault="00964049" w:rsidP="007047DB">
      <w:pPr>
        <w:rPr>
          <w:b/>
        </w:rPr>
      </w:pPr>
      <w:r w:rsidRPr="00964049">
        <w:rPr>
          <w:b/>
        </w:rPr>
        <w:t>Scenario:</w:t>
      </w:r>
    </w:p>
    <w:p w14:paraId="668DE583" w14:textId="222E59BB" w:rsidR="00964049" w:rsidRDefault="00B1614F" w:rsidP="007047DB">
      <w:r>
        <w:t>In this scenario, we compare and analyze green power feasibility metrics for a multi-tenant scenario.</w:t>
      </w:r>
      <w:r w:rsidR="009C5F76">
        <w:t xml:space="preserve"> A solar design is compared and analyzed for three tenancy scenarios – 1 tenant, 2 tenants and 3 tenants.</w:t>
      </w:r>
    </w:p>
    <w:p w14:paraId="64260730" w14:textId="77777777" w:rsidR="002A2BFA" w:rsidRDefault="002A2BFA" w:rsidP="007047DB"/>
    <w:p w14:paraId="6D3AEBE3" w14:textId="09729877" w:rsidR="00964049" w:rsidRPr="00964049" w:rsidRDefault="00964049" w:rsidP="007047DB">
      <w:pPr>
        <w:rPr>
          <w:b/>
        </w:rPr>
      </w:pPr>
      <w:r w:rsidRPr="00964049">
        <w:rPr>
          <w:b/>
        </w:rPr>
        <w:t>Analysis:</w:t>
      </w:r>
    </w:p>
    <w:p w14:paraId="08784819" w14:textId="457161B5" w:rsidR="00964049" w:rsidRDefault="003F2CC4" w:rsidP="007047DB">
      <w:r>
        <w:t>The tenancy of a site will hugely affect the feasibility of green power solution. The TCO and payback analysis for various tenancy scenarios is presented in the figure below.</w:t>
      </w:r>
    </w:p>
    <w:p w14:paraId="13ADFF9A" w14:textId="7C9315E3" w:rsidR="007E4B61" w:rsidRDefault="007E4B61" w:rsidP="007E4B61">
      <w:pPr>
        <w:pStyle w:val="Caption"/>
      </w:pPr>
      <w:bookmarkStart w:id="30" w:name="_Toc393749920"/>
      <w:r>
        <w:lastRenderedPageBreak/>
        <w:t xml:space="preserve">Figure </w:t>
      </w:r>
      <w:fldSimple w:instr=" SEQ Figure \* ARABIC ">
        <w:r w:rsidR="00B34814">
          <w:rPr>
            <w:noProof/>
          </w:rPr>
          <w:t>8</w:t>
        </w:r>
      </w:fldSimple>
      <w:r>
        <w:t>: Multi-tenant Feasibility (CDC vs. Green): Tenancy scenarios – impact on TCO and Payback</w:t>
      </w:r>
      <w:bookmarkEnd w:id="30"/>
    </w:p>
    <w:p w14:paraId="79BCD4DC" w14:textId="300BBED4" w:rsidR="007E4B61" w:rsidRPr="007E4B61" w:rsidRDefault="00C17F84" w:rsidP="007E4B61">
      <w:r>
        <w:rPr>
          <w:noProof/>
        </w:rPr>
        <w:drawing>
          <wp:inline distT="0" distB="0" distL="0" distR="0" wp14:anchorId="4DA48A2E" wp14:editId="30B11775">
            <wp:extent cx="5486400" cy="3514725"/>
            <wp:effectExtent l="0" t="0" r="19050" b="95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BE6A44B" w14:textId="107766A7" w:rsidR="007E4B61" w:rsidRDefault="007E4B61" w:rsidP="007E4B61"/>
    <w:p w14:paraId="6F0EABED" w14:textId="2A086C5E" w:rsidR="009568AE" w:rsidRPr="007E4B61" w:rsidRDefault="009568AE" w:rsidP="007E4B61">
      <w:r>
        <w:t>The figure above shows that the long term TCO differential of green power solutions vis-à-vis diesel based CDC solution is not very significant for 2 and 3 tenant scenarios. Besides, the CAPEX differential between green power and CDC solutions is too high to be justifiable for the small TCO benefits in the 2 and 3 tenant scenarios.</w:t>
      </w:r>
    </w:p>
    <w:p w14:paraId="67352855" w14:textId="77777777" w:rsidR="009C5F76" w:rsidRDefault="009C5F76" w:rsidP="007047DB"/>
    <w:p w14:paraId="0C4FB53F" w14:textId="49AE32B7" w:rsidR="00964049" w:rsidRPr="00964049" w:rsidRDefault="00964049" w:rsidP="007047DB">
      <w:pPr>
        <w:rPr>
          <w:b/>
        </w:rPr>
      </w:pPr>
      <w:r w:rsidRPr="00964049">
        <w:rPr>
          <w:b/>
        </w:rPr>
        <w:t>Inference:</w:t>
      </w:r>
    </w:p>
    <w:p w14:paraId="21CAD8AF" w14:textId="21D9669D" w:rsidR="000822BF" w:rsidRDefault="009568AE" w:rsidP="007A5196">
      <w:r>
        <w:t xml:space="preserve">Given the </w:t>
      </w:r>
      <w:r w:rsidR="00677B80">
        <w:t>large</w:t>
      </w:r>
      <w:r>
        <w:t xml:space="preserve"> CAPEX requirement for green power, green power feasibility for a multi-tenant scenario will require a long-term view of more than 5 years in order to realize the benefits of lower TCO when compared to the diesel based CDC solution. The possibility of grid extension is very critical to consider while taking up a long-term investment in green power.</w:t>
      </w:r>
    </w:p>
    <w:p w14:paraId="1D4C2174" w14:textId="77777777" w:rsidR="00C2352F" w:rsidRDefault="00C2352F">
      <w:pPr>
        <w:spacing w:line="240" w:lineRule="auto"/>
        <w:jc w:val="left"/>
        <w:rPr>
          <w:rFonts w:eastAsiaTheme="majorEastAsia" w:cstheme="majorBidi"/>
          <w:b/>
          <w:bCs/>
          <w:color w:val="71AC7A"/>
          <w:sz w:val="24"/>
          <w:szCs w:val="26"/>
          <w:bdr w:val="nil"/>
          <w:lang w:val="en-GB"/>
        </w:rPr>
      </w:pPr>
      <w:r>
        <w:br w:type="page"/>
      </w:r>
    </w:p>
    <w:p w14:paraId="14151212" w14:textId="6A0A0419" w:rsidR="00154220" w:rsidRDefault="001B3058" w:rsidP="001B3058">
      <w:pPr>
        <w:pStyle w:val="Heading2"/>
      </w:pPr>
      <w:bookmarkStart w:id="31" w:name="_Toc393749906"/>
      <w:r>
        <w:lastRenderedPageBreak/>
        <w:t>Summary</w:t>
      </w:r>
      <w:r w:rsidR="00EF39F7">
        <w:t xml:space="preserve"> and Conclusions</w:t>
      </w:r>
      <w:bookmarkEnd w:id="31"/>
    </w:p>
    <w:p w14:paraId="0049D69C" w14:textId="1C965043" w:rsidR="00616397" w:rsidRDefault="00616397" w:rsidP="001B3058">
      <w:pPr>
        <w:rPr>
          <w:lang w:val="en-GB"/>
        </w:rPr>
      </w:pPr>
    </w:p>
    <w:p w14:paraId="280898F3" w14:textId="3AADD597" w:rsidR="00C2352F" w:rsidRDefault="00C2352F" w:rsidP="00C2352F">
      <w:pPr>
        <w:pStyle w:val="ListParagraph"/>
        <w:numPr>
          <w:ilvl w:val="0"/>
          <w:numId w:val="15"/>
        </w:numPr>
        <w:tabs>
          <w:tab w:val="num" w:pos="283"/>
        </w:tabs>
        <w:ind w:left="283" w:hanging="283"/>
      </w:pPr>
      <w:r>
        <w:t>T</w:t>
      </w:r>
      <w:r w:rsidR="00FF7C01">
        <w:t>he energy contribution</w:t>
      </w:r>
      <w:r>
        <w:t xml:space="preserve"> from green power source</w:t>
      </w:r>
      <w:r w:rsidR="00FF7C01">
        <w:t xml:space="preserve"> has a great impact on the overall solution feasibility and selection. A solution with optimum green energy contribution must be chosen considering reasonable tradeoff between long-term TCO, payback period and the CAPEX requirement</w:t>
      </w:r>
      <w:r>
        <w:t>.</w:t>
      </w:r>
    </w:p>
    <w:p w14:paraId="05A1ACB1" w14:textId="516C16A7" w:rsidR="00FF7C01" w:rsidRDefault="00FF7C01" w:rsidP="00C2352F">
      <w:pPr>
        <w:pStyle w:val="ListParagraph"/>
        <w:numPr>
          <w:ilvl w:val="0"/>
          <w:numId w:val="15"/>
        </w:numPr>
        <w:tabs>
          <w:tab w:val="num" w:pos="283"/>
        </w:tabs>
        <w:ind w:left="283" w:hanging="283"/>
      </w:pPr>
      <w:r>
        <w:t>Sites with lower loads present a better feasibility for green power solutions as compared to sites with higher loads based on similar design assumptions.</w:t>
      </w:r>
    </w:p>
    <w:p w14:paraId="4D8F6419" w14:textId="0F220C6E" w:rsidR="00FF7C01" w:rsidRDefault="00C2352F" w:rsidP="00C2352F">
      <w:pPr>
        <w:pStyle w:val="ListParagraph"/>
        <w:numPr>
          <w:ilvl w:val="0"/>
          <w:numId w:val="15"/>
        </w:numPr>
        <w:tabs>
          <w:tab w:val="num" w:pos="283"/>
        </w:tabs>
        <w:ind w:left="283" w:hanging="283"/>
      </w:pPr>
      <w:r>
        <w:t>For a given green power design – b</w:t>
      </w:r>
      <w:r w:rsidR="00FF7C01">
        <w:t>etter</w:t>
      </w:r>
      <w:r>
        <w:t xml:space="preserve"> </w:t>
      </w:r>
      <w:r w:rsidR="00FF7C01">
        <w:t xml:space="preserve">the renewable resource availability, higher the green contribution, lower the dependence on diesel power and better the feasibility </w:t>
      </w:r>
      <w:r>
        <w:t>metrics</w:t>
      </w:r>
      <w:r w:rsidR="00FF7C01">
        <w:t>.</w:t>
      </w:r>
    </w:p>
    <w:p w14:paraId="5CCDE679" w14:textId="416DE6D5" w:rsidR="00FF7C01" w:rsidRDefault="00C2352F" w:rsidP="00C2352F">
      <w:pPr>
        <w:pStyle w:val="ListParagraph"/>
        <w:numPr>
          <w:ilvl w:val="0"/>
          <w:numId w:val="15"/>
        </w:numPr>
        <w:tabs>
          <w:tab w:val="num" w:pos="283"/>
        </w:tabs>
        <w:ind w:left="283" w:hanging="283"/>
      </w:pPr>
      <w:r>
        <w:t>G</w:t>
      </w:r>
      <w:r w:rsidR="00FF7C01">
        <w:t xml:space="preserve">reen power investments for a Tower Co should have a </w:t>
      </w:r>
      <w:proofErr w:type="gramStart"/>
      <w:r w:rsidR="00FF7C01">
        <w:t>long term</w:t>
      </w:r>
      <w:proofErr w:type="gramEnd"/>
      <w:r w:rsidR="00FF7C01">
        <w:t xml:space="preserve"> view of at least 5 years and an optimum design selection in order to achieve a lower long-term TCO, lower energy costs, and environment friendly sustainable energy operations.</w:t>
      </w:r>
    </w:p>
    <w:p w14:paraId="57D90DC8" w14:textId="77777777" w:rsidR="00C2352F" w:rsidRDefault="00C2352F" w:rsidP="00C2352F">
      <w:pPr>
        <w:pStyle w:val="ListParagraph"/>
        <w:numPr>
          <w:ilvl w:val="0"/>
          <w:numId w:val="15"/>
        </w:numPr>
        <w:tabs>
          <w:tab w:val="num" w:pos="283"/>
        </w:tabs>
        <w:ind w:left="283" w:hanging="283"/>
      </w:pPr>
      <w:r>
        <w:t>The contract tenure with MNOs and the long-term tenancy growth outlook will have a great impact on the investments in green power for a multi-tenant context of a Tower Company.</w:t>
      </w:r>
    </w:p>
    <w:p w14:paraId="1D5DB529" w14:textId="4B85E0B3" w:rsidR="00FF7C01" w:rsidRPr="00C2352F" w:rsidRDefault="00FF7C01" w:rsidP="00C2352F">
      <w:pPr>
        <w:pStyle w:val="ListParagraph"/>
        <w:numPr>
          <w:ilvl w:val="0"/>
          <w:numId w:val="15"/>
        </w:numPr>
        <w:tabs>
          <w:tab w:val="num" w:pos="283"/>
        </w:tabs>
        <w:ind w:left="283" w:hanging="283"/>
      </w:pPr>
      <w:r>
        <w:t xml:space="preserve">The possibility of </w:t>
      </w:r>
      <w:r w:rsidR="00C2352F">
        <w:t xml:space="preserve">future </w:t>
      </w:r>
      <w:r>
        <w:t xml:space="preserve">grid extension is very critical to consider while taking up a long-term </w:t>
      </w:r>
      <w:r w:rsidR="00C2352F">
        <w:t>view on investing</w:t>
      </w:r>
      <w:r>
        <w:t xml:space="preserve"> in green power</w:t>
      </w:r>
      <w:r w:rsidR="00C2352F">
        <w:t xml:space="preserve"> for telecoms</w:t>
      </w:r>
      <w:r>
        <w:t>.</w:t>
      </w:r>
    </w:p>
    <w:p w14:paraId="1AD878FF" w14:textId="22070FCB" w:rsidR="00552F68" w:rsidRPr="00C2352F" w:rsidRDefault="00616397" w:rsidP="00161459">
      <w:pPr>
        <w:rPr>
          <w:lang w:val="en-GB"/>
        </w:rPr>
      </w:pPr>
      <w:r>
        <w:rPr>
          <w:lang w:val="en-GB"/>
        </w:rPr>
        <w:t xml:space="preserve"> </w:t>
      </w:r>
      <w:r w:rsidR="00552F68">
        <w:rPr>
          <w:noProof/>
        </w:rPr>
        <w:drawing>
          <wp:anchor distT="0" distB="0" distL="114300" distR="114300" simplePos="0" relativeHeight="251660288" behindDoc="0" locked="0" layoutInCell="1" allowOverlap="1" wp14:anchorId="7A9AA485" wp14:editId="1DF75434">
            <wp:simplePos x="0" y="0"/>
            <wp:positionH relativeFrom="margin">
              <wp:posOffset>-1152525</wp:posOffset>
            </wp:positionH>
            <wp:positionV relativeFrom="margin">
              <wp:posOffset>4229100</wp:posOffset>
            </wp:positionV>
            <wp:extent cx="8096250" cy="4143375"/>
            <wp:effectExtent l="0" t="0" r="0" b="9525"/>
            <wp:wrapSquare wrapText="bothSides"/>
            <wp:docPr id="23" name="Picture 23" descr="C:\Users\satish.kumar\Dropbox\Madagascar - Site Visits\20121216_1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tish.kumar\Dropbox\Madagascar - Site Visits\20121216_141400.jpg"/>
                    <pic:cNvPicPr>
                      <a:picLocks noChangeAspect="1" noChangeArrowheads="1"/>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8096250" cy="414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407DE8" w14:textId="77777777" w:rsidR="00847CA1" w:rsidRDefault="00847CA1">
      <w:pPr>
        <w:spacing w:line="240" w:lineRule="auto"/>
        <w:jc w:val="left"/>
        <w:rPr>
          <w:rFonts w:eastAsiaTheme="majorEastAsia" w:cstheme="majorBidi"/>
          <w:b/>
          <w:bCs/>
          <w:color w:val="71AC7A"/>
          <w:sz w:val="36"/>
          <w:szCs w:val="32"/>
          <w:bdr w:val="nil"/>
        </w:rPr>
      </w:pPr>
      <w:r>
        <w:br w:type="page"/>
      </w:r>
    </w:p>
    <w:p w14:paraId="3BB1F549" w14:textId="72406547" w:rsidR="00161459" w:rsidRDefault="00B97CB4" w:rsidP="00847CA1">
      <w:pPr>
        <w:pStyle w:val="Heading1"/>
      </w:pPr>
      <w:bookmarkStart w:id="32" w:name="_Toc393749907"/>
      <w:r>
        <w:lastRenderedPageBreak/>
        <w:t xml:space="preserve">Green </w:t>
      </w:r>
      <w:r w:rsidR="00343B63">
        <w:t>P</w:t>
      </w:r>
      <w:r>
        <w:t xml:space="preserve">ower </w:t>
      </w:r>
      <w:r w:rsidR="00343B63">
        <w:t>Feasibility – T</w:t>
      </w:r>
      <w:r>
        <w:t>echnology</w:t>
      </w:r>
      <w:r w:rsidR="00343B63">
        <w:t xml:space="preserve"> </w:t>
      </w:r>
      <w:r w:rsidR="00061F16">
        <w:t>specific factors</w:t>
      </w:r>
      <w:bookmarkEnd w:id="32"/>
    </w:p>
    <w:p w14:paraId="697448C6" w14:textId="3D92FE6E" w:rsidR="00851D0F" w:rsidRDefault="00851D0F" w:rsidP="002352BD">
      <w:r>
        <w:t xml:space="preserve">The feasibility of greener alternatives to power up mobile base stations greatly depends on the choice of technology adopted. Therefore it is very crucial to understand and analyze the technology specific parameters while analyzing the feasible green power alternatives. In this section, various technologies and their specific design and implementation specific parameters are analyzed to understand their effects on overall green power feasibility and adoption </w:t>
      </w:r>
      <w:r w:rsidR="00AC52C1">
        <w:t>for telecom power applications.</w:t>
      </w:r>
    </w:p>
    <w:p w14:paraId="4D471186" w14:textId="22C0E88F" w:rsidR="00D764D9" w:rsidRDefault="00D764D9" w:rsidP="00AC52C1">
      <w:pPr>
        <w:pStyle w:val="Heading2"/>
      </w:pPr>
      <w:bookmarkStart w:id="33" w:name="_Toc393749908"/>
      <w:r>
        <w:t>Energy efficiency and the importance of optimum system design</w:t>
      </w:r>
      <w:bookmarkEnd w:id="33"/>
    </w:p>
    <w:p w14:paraId="0CFAD26D" w14:textId="77777777" w:rsidR="00567C11" w:rsidRDefault="00567C11" w:rsidP="002352BD"/>
    <w:p w14:paraId="3A782ACE" w14:textId="0164A42C" w:rsidR="00D764D9" w:rsidRDefault="00D764D9" w:rsidP="002352BD">
      <w:r>
        <w:t>Energy efficiency has become a key part of overall strategy to reduce energy OPEX of a telecom site in the short run. Energy efficiency can be looked at from both reducing energy consumption as well as improving generation efficiency. Reduction in energy consumption can be achieved through various elements including equipment upgrade, optimizing operating environment such as cooling systems, and reducing miscellaneous loads at the site. However, a greater benefit in energy efficiency is achieved through overall power system optimization using high performance equipment, and optimum calibration of parameters for running power system at its maximum efficiency.</w:t>
      </w:r>
      <w:r w:rsidR="00567C11">
        <w:t xml:space="preserve"> It is a proven in some cases </w:t>
      </w:r>
      <w:proofErr w:type="gramStart"/>
      <w:r w:rsidR="00567C11">
        <w:t>that,</w:t>
      </w:r>
      <w:proofErr w:type="gramEnd"/>
      <w:r w:rsidR="00567C11">
        <w:t xml:space="preserve"> energy efficiency initiatives could save MNOs and Tower Cos up to a 30% in energy OPEX for a site.</w:t>
      </w:r>
    </w:p>
    <w:p w14:paraId="34157870" w14:textId="77777777" w:rsidR="00746B6F" w:rsidRDefault="00746B6F" w:rsidP="002352BD"/>
    <w:p w14:paraId="43407C63" w14:textId="58CC6397" w:rsidR="00746B6F" w:rsidRDefault="00746B6F" w:rsidP="002352BD">
      <w:r>
        <w:t>Some of the key energy efficiency initiatives for an MNO/Tower Co are listed below.</w:t>
      </w:r>
    </w:p>
    <w:p w14:paraId="44763BAD" w14:textId="06DC38EA" w:rsidR="005B2EAE" w:rsidRDefault="005B2EAE" w:rsidP="005B2EAE">
      <w:pPr>
        <w:rPr>
          <w:lang w:val="en-GB"/>
        </w:rPr>
      </w:pPr>
      <w:r>
        <w:rPr>
          <w:lang w:val="en-GB"/>
        </w:rPr>
        <w:t>For existing networks,</w:t>
      </w:r>
    </w:p>
    <w:p w14:paraId="77704B11" w14:textId="77777777" w:rsidR="00F60F05" w:rsidRPr="005B2EAE" w:rsidRDefault="002A42C2" w:rsidP="005B2EAE">
      <w:pPr>
        <w:pStyle w:val="ListParagraph"/>
        <w:numPr>
          <w:ilvl w:val="0"/>
          <w:numId w:val="15"/>
        </w:numPr>
        <w:tabs>
          <w:tab w:val="num" w:pos="283"/>
        </w:tabs>
        <w:ind w:left="283" w:hanging="283"/>
      </w:pPr>
      <w:r w:rsidRPr="005B2EAE">
        <w:t>Energy Optimization and Efficiency</w:t>
      </w:r>
    </w:p>
    <w:p w14:paraId="29FCD0A0" w14:textId="77777777" w:rsidR="00F60F05" w:rsidRPr="005B2EAE" w:rsidRDefault="002A42C2" w:rsidP="005B2EAE">
      <w:pPr>
        <w:pStyle w:val="ListParagraph"/>
        <w:numPr>
          <w:ilvl w:val="1"/>
          <w:numId w:val="15"/>
        </w:numPr>
      </w:pPr>
      <w:r w:rsidRPr="005B2EAE">
        <w:t>Upgrade or swap indoor equipment to outdoor equipment for Off-grid sites</w:t>
      </w:r>
    </w:p>
    <w:p w14:paraId="62DC50EE" w14:textId="77777777" w:rsidR="00F60F05" w:rsidRPr="005B2EAE" w:rsidRDefault="002A42C2" w:rsidP="005B2EAE">
      <w:pPr>
        <w:pStyle w:val="ListParagraph"/>
        <w:numPr>
          <w:ilvl w:val="2"/>
          <w:numId w:val="15"/>
        </w:numPr>
      </w:pPr>
      <w:r w:rsidRPr="005B2EAE">
        <w:t>Reduce overall site load and optimize energy requirements</w:t>
      </w:r>
    </w:p>
    <w:p w14:paraId="3919AD40" w14:textId="77777777" w:rsidR="00F60F05" w:rsidRPr="005B2EAE" w:rsidRDefault="002A42C2" w:rsidP="005B2EAE">
      <w:pPr>
        <w:pStyle w:val="ListParagraph"/>
        <w:numPr>
          <w:ilvl w:val="2"/>
          <w:numId w:val="15"/>
        </w:numPr>
      </w:pPr>
      <w:r w:rsidRPr="005B2EAE">
        <w:t>Improve equipment performance for extreme weather conditions</w:t>
      </w:r>
    </w:p>
    <w:p w14:paraId="29185495" w14:textId="77777777" w:rsidR="00F60F05" w:rsidRPr="005B2EAE" w:rsidRDefault="002A42C2" w:rsidP="005B2EAE">
      <w:pPr>
        <w:pStyle w:val="ListParagraph"/>
        <w:numPr>
          <w:ilvl w:val="1"/>
          <w:numId w:val="15"/>
        </w:numPr>
      </w:pPr>
      <w:r w:rsidRPr="005B2EAE">
        <w:t>Replace old diesel generators for improved performance and reduced O&amp;M costs</w:t>
      </w:r>
    </w:p>
    <w:p w14:paraId="257193EC" w14:textId="77777777" w:rsidR="00F60F05" w:rsidRPr="005B2EAE" w:rsidRDefault="002A42C2" w:rsidP="005B2EAE">
      <w:pPr>
        <w:pStyle w:val="ListParagraph"/>
        <w:numPr>
          <w:ilvl w:val="2"/>
          <w:numId w:val="15"/>
        </w:numPr>
      </w:pPr>
      <w:r w:rsidRPr="005B2EAE">
        <w:t>Reduce fuel consumption</w:t>
      </w:r>
    </w:p>
    <w:p w14:paraId="11449CA1" w14:textId="77777777" w:rsidR="00F60F05" w:rsidRPr="005B2EAE" w:rsidRDefault="002A42C2" w:rsidP="005B2EAE">
      <w:pPr>
        <w:pStyle w:val="ListParagraph"/>
        <w:numPr>
          <w:ilvl w:val="2"/>
          <w:numId w:val="15"/>
        </w:numPr>
      </w:pPr>
      <w:r w:rsidRPr="005B2EAE">
        <w:t>Reduce number of site visits and reduce operational expenses</w:t>
      </w:r>
    </w:p>
    <w:p w14:paraId="10398271" w14:textId="77777777" w:rsidR="00F60F05" w:rsidRPr="005B2EAE" w:rsidRDefault="002A42C2" w:rsidP="005B2EAE">
      <w:pPr>
        <w:pStyle w:val="ListParagraph"/>
        <w:numPr>
          <w:ilvl w:val="2"/>
          <w:numId w:val="15"/>
        </w:numPr>
      </w:pPr>
      <w:r w:rsidRPr="005B2EAE">
        <w:t>Improve performance during extreme weather conditions especially during winter</w:t>
      </w:r>
    </w:p>
    <w:p w14:paraId="595E57F9" w14:textId="77777777" w:rsidR="005B2EAE" w:rsidRPr="005B2EAE" w:rsidRDefault="005B2EAE" w:rsidP="005B2EAE">
      <w:pPr>
        <w:pStyle w:val="ListParagraph"/>
        <w:numPr>
          <w:ilvl w:val="0"/>
          <w:numId w:val="15"/>
        </w:numPr>
        <w:tabs>
          <w:tab w:val="num" w:pos="283"/>
        </w:tabs>
        <w:ind w:left="283" w:hanging="283"/>
      </w:pPr>
      <w:r w:rsidRPr="005B2EAE">
        <w:t>Implement smart energy monitoring and site equipment control mechanism to control site operations</w:t>
      </w:r>
    </w:p>
    <w:p w14:paraId="1361C0A7" w14:textId="77777777" w:rsidR="005B2EAE" w:rsidRPr="005B2EAE" w:rsidRDefault="005B2EAE" w:rsidP="005B2EAE">
      <w:pPr>
        <w:pStyle w:val="ListParagraph"/>
        <w:numPr>
          <w:ilvl w:val="0"/>
          <w:numId w:val="15"/>
        </w:numPr>
        <w:tabs>
          <w:tab w:val="num" w:pos="283"/>
        </w:tabs>
        <w:ind w:left="283" w:hanging="283"/>
      </w:pPr>
      <w:r w:rsidRPr="005B2EAE">
        <w:t>Implement smart power source control mechanism to intelligently select between various power sources including Renewables, Grid power, Batteries and DG</w:t>
      </w:r>
    </w:p>
    <w:p w14:paraId="094DD423" w14:textId="13DF8D27" w:rsidR="005B2EAE" w:rsidRPr="005B2EAE" w:rsidRDefault="005B2EAE" w:rsidP="005B2EAE">
      <w:r w:rsidRPr="005B2EAE">
        <w:t>For future networks,</w:t>
      </w:r>
    </w:p>
    <w:p w14:paraId="09D00734" w14:textId="77777777" w:rsidR="00F60F05" w:rsidRPr="005B2EAE" w:rsidRDefault="002A42C2" w:rsidP="005B2EAE">
      <w:pPr>
        <w:pStyle w:val="ListParagraph"/>
        <w:numPr>
          <w:ilvl w:val="0"/>
          <w:numId w:val="15"/>
        </w:numPr>
        <w:tabs>
          <w:tab w:val="num" w:pos="283"/>
        </w:tabs>
        <w:ind w:left="283" w:hanging="283"/>
      </w:pPr>
      <w:r w:rsidRPr="005B2EAE">
        <w:t>Consider Light Rural site solutions for extending network to remote, low ARPU, low traffic regions</w:t>
      </w:r>
    </w:p>
    <w:p w14:paraId="0CB10A1E" w14:textId="77777777" w:rsidR="00F60F05" w:rsidRPr="005B2EAE" w:rsidRDefault="002A42C2" w:rsidP="005B2EAE">
      <w:pPr>
        <w:pStyle w:val="ListParagraph"/>
        <w:numPr>
          <w:ilvl w:val="1"/>
          <w:numId w:val="15"/>
        </w:numPr>
      </w:pPr>
      <w:r w:rsidRPr="005B2EAE">
        <w:t xml:space="preserve">Feasibility of </w:t>
      </w:r>
      <w:proofErr w:type="gramStart"/>
      <w:r w:rsidRPr="005B2EAE">
        <w:t>renewable  alternatives</w:t>
      </w:r>
      <w:proofErr w:type="gramEnd"/>
      <w:r w:rsidRPr="005B2EAE">
        <w:t xml:space="preserve"> to power</w:t>
      </w:r>
    </w:p>
    <w:p w14:paraId="7EDDEB86" w14:textId="77777777" w:rsidR="00F60F05" w:rsidRPr="005B2EAE" w:rsidRDefault="002A42C2" w:rsidP="005B2EAE">
      <w:pPr>
        <w:pStyle w:val="ListParagraph"/>
        <w:numPr>
          <w:ilvl w:val="1"/>
          <w:numId w:val="15"/>
        </w:numPr>
      </w:pPr>
      <w:r w:rsidRPr="005B2EAE">
        <w:t>Less or zero dependence on diesel power</w:t>
      </w:r>
    </w:p>
    <w:p w14:paraId="22A17096" w14:textId="77777777" w:rsidR="00F60F05" w:rsidRPr="005B2EAE" w:rsidRDefault="002A42C2" w:rsidP="005B2EAE">
      <w:pPr>
        <w:pStyle w:val="ListParagraph"/>
        <w:numPr>
          <w:ilvl w:val="0"/>
          <w:numId w:val="15"/>
        </w:numPr>
        <w:tabs>
          <w:tab w:val="num" w:pos="283"/>
        </w:tabs>
        <w:ind w:left="283" w:hanging="283"/>
      </w:pPr>
      <w:r w:rsidRPr="005B2EAE">
        <w:t>Deploy outdoor equipment for upcoming network rollout for better network energy efficiency</w:t>
      </w:r>
    </w:p>
    <w:p w14:paraId="7FDFF1AA" w14:textId="77777777" w:rsidR="00D764D9" w:rsidRDefault="00D764D9" w:rsidP="002352BD"/>
    <w:p w14:paraId="1B621283" w14:textId="548BE7BE" w:rsidR="00851D0F" w:rsidRDefault="004468F7" w:rsidP="00AC52C1">
      <w:pPr>
        <w:pStyle w:val="Heading2"/>
      </w:pPr>
      <w:bookmarkStart w:id="34" w:name="_Toc393749909"/>
      <w:r>
        <w:lastRenderedPageBreak/>
        <w:t xml:space="preserve">Diesel hybrid systems and the </w:t>
      </w:r>
      <w:r w:rsidR="00D764D9">
        <w:t>effect of</w:t>
      </w:r>
      <w:r>
        <w:t xml:space="preserve"> battery sizing</w:t>
      </w:r>
      <w:r w:rsidR="00D764D9">
        <w:t xml:space="preserve"> on the overall system efficiency</w:t>
      </w:r>
      <w:bookmarkEnd w:id="34"/>
    </w:p>
    <w:p w14:paraId="4A3371DD" w14:textId="44BAE98A" w:rsidR="00946FB3" w:rsidRDefault="00946FB3" w:rsidP="002352BD"/>
    <w:p w14:paraId="0535A828" w14:textId="3BE08B1B" w:rsidR="004468F7" w:rsidRDefault="00780295" w:rsidP="002352BD">
      <w:r>
        <w:t>Of the many green</w:t>
      </w:r>
      <w:r w:rsidR="007F2E94">
        <w:t>er</w:t>
      </w:r>
      <w:r>
        <w:t xml:space="preserve"> alternatives, diesel generator plus battery hybrid power systems have become a popular choice of solutions to power up base station sites. There has been a great trend towards adopting DG-battery hybrid systems to power telecom sites owing to their lower CAPEX and short term OPEX saving benefits. However, the optimum dimensioning of diesel generator as well as the size of the battery bank has a huge impact on the overall system efficiency, performance and the realized OPEX savings.</w:t>
      </w:r>
    </w:p>
    <w:p w14:paraId="5B5B1861" w14:textId="59C6DBAF" w:rsidR="00780295" w:rsidRDefault="00780295" w:rsidP="002352BD"/>
    <w:p w14:paraId="69C98A18" w14:textId="05945E3B" w:rsidR="00780295" w:rsidRDefault="00780295" w:rsidP="002352BD">
      <w:r>
        <w:t>The two parameters that greatly affect the overall efficiency and performance are the dimensioning of the battery and the diesel generator as well as the design parameters such as the average loading on the diesel generator and the overall energy throughput realized from the battery bank.</w:t>
      </w:r>
    </w:p>
    <w:p w14:paraId="368DA56B" w14:textId="77777777" w:rsidR="00780295" w:rsidRDefault="00780295" w:rsidP="002352BD"/>
    <w:p w14:paraId="71B88656" w14:textId="77777777" w:rsidR="00780295" w:rsidRDefault="00780295" w:rsidP="002352BD">
      <w:r>
        <w:t>The effect of generator loading on overall system efficiency and OPEX savings is illustrated below.</w:t>
      </w:r>
    </w:p>
    <w:p w14:paraId="49FB14AE" w14:textId="3F2DAE41" w:rsidR="00780295" w:rsidRDefault="00C63995" w:rsidP="00C63995">
      <w:pPr>
        <w:pStyle w:val="Caption"/>
      </w:pPr>
      <w:bookmarkStart w:id="35" w:name="_Toc393749921"/>
      <w:r>
        <w:t xml:space="preserve">Figure </w:t>
      </w:r>
      <w:fldSimple w:instr=" SEQ Figure \* ARABIC ">
        <w:r w:rsidR="00B34814">
          <w:rPr>
            <w:noProof/>
          </w:rPr>
          <w:t>9</w:t>
        </w:r>
      </w:fldSimple>
      <w:r>
        <w:t xml:space="preserve">: </w:t>
      </w:r>
      <w:r w:rsidR="0053672C">
        <w:t>DG</w:t>
      </w:r>
      <w:r>
        <w:t xml:space="preserve"> loading and </w:t>
      </w:r>
      <w:r w:rsidR="0053672C">
        <w:t>OPEX performance</w:t>
      </w:r>
      <w:bookmarkEnd w:id="35"/>
    </w:p>
    <w:p w14:paraId="25BDAD68" w14:textId="6F6F1E0D" w:rsidR="00C63995" w:rsidRDefault="0053672C" w:rsidP="002352BD">
      <w:r>
        <w:rPr>
          <w:noProof/>
        </w:rPr>
        <w:drawing>
          <wp:inline distT="0" distB="0" distL="0" distR="0" wp14:anchorId="14E0D422" wp14:editId="5BF8F1C5">
            <wp:extent cx="5486400" cy="3252247"/>
            <wp:effectExtent l="0" t="0" r="19050" b="2476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E33E344" w14:textId="77777777" w:rsidR="0053672C" w:rsidRDefault="0053672C" w:rsidP="002352BD"/>
    <w:p w14:paraId="29BB3155" w14:textId="2B35B60A" w:rsidR="0053672C" w:rsidRDefault="0053672C" w:rsidP="002352BD">
      <w:r>
        <w:t>As demonstrated above, a design with and optimum diesel generator loading can improve the overall generation efficiency and save energy OPEX by reducing overall diesel consumption.</w:t>
      </w:r>
      <w:r w:rsidR="007F2E94">
        <w:t xml:space="preserve"> Diesel generators are more efficient when run at a higher loading and require less maintenance. </w:t>
      </w:r>
      <w:r w:rsidR="002E3EAE">
        <w:t>For the same required energy output, t</w:t>
      </w:r>
      <w:r w:rsidR="007F2E94">
        <w:t>he overall diesel consumption is reduced at h</w:t>
      </w:r>
      <w:r w:rsidR="002E3EAE">
        <w:t>igher average loading and hence reduces overall energy OPEX.</w:t>
      </w:r>
    </w:p>
    <w:p w14:paraId="5ED84E03" w14:textId="77777777" w:rsidR="002E3EAE" w:rsidRDefault="002E3EAE" w:rsidP="002352BD"/>
    <w:p w14:paraId="46955528" w14:textId="50B13DF4" w:rsidR="002E3EAE" w:rsidRDefault="002E3EAE" w:rsidP="002352BD">
      <w:r>
        <w:t>The impact on overall TCO of the diesel hybrid system is illustrated below.</w:t>
      </w:r>
    </w:p>
    <w:p w14:paraId="498827B0" w14:textId="03569212" w:rsidR="0053672C" w:rsidRDefault="0053672C" w:rsidP="0053672C">
      <w:pPr>
        <w:pStyle w:val="Caption"/>
      </w:pPr>
      <w:bookmarkStart w:id="36" w:name="_Toc393749922"/>
      <w:r>
        <w:t xml:space="preserve">Figure </w:t>
      </w:r>
      <w:fldSimple w:instr=" SEQ Figure \* ARABIC ">
        <w:r w:rsidR="00B34814">
          <w:rPr>
            <w:noProof/>
          </w:rPr>
          <w:t>10</w:t>
        </w:r>
      </w:fldSimple>
      <w:r>
        <w:t>: DG loading and impact on TCO</w:t>
      </w:r>
      <w:bookmarkEnd w:id="36"/>
    </w:p>
    <w:p w14:paraId="75FCCB59" w14:textId="545F9291" w:rsidR="0053672C" w:rsidRDefault="0053672C" w:rsidP="002352BD">
      <w:r>
        <w:rPr>
          <w:noProof/>
        </w:rPr>
        <w:lastRenderedPageBreak/>
        <w:drawing>
          <wp:inline distT="0" distB="0" distL="0" distR="0" wp14:anchorId="7186AE19" wp14:editId="683401BF">
            <wp:extent cx="5486400" cy="3456549"/>
            <wp:effectExtent l="0" t="0" r="19050" b="1079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0C33873" w14:textId="7339BA6A" w:rsidR="00780295" w:rsidRDefault="00DD267A" w:rsidP="002352BD">
      <w:r>
        <w:t xml:space="preserve"> </w:t>
      </w:r>
    </w:p>
    <w:p w14:paraId="33683584" w14:textId="08B6E01F" w:rsidR="002675F9" w:rsidRDefault="007F2E94" w:rsidP="002352BD">
      <w:r>
        <w:t xml:space="preserve">The TCO of a generator-battery hybrid solution improves </w:t>
      </w:r>
      <w:r w:rsidR="002E3EAE">
        <w:t>by</w:t>
      </w:r>
      <w:r>
        <w:t xml:space="preserve"> designing the system </w:t>
      </w:r>
      <w:r w:rsidR="002E3EAE">
        <w:t>at</w:t>
      </w:r>
      <w:r>
        <w:t xml:space="preserve"> a higher DG loading factor. The higher the DG loading, the better the generation efficiency and lower the number of run hours </w:t>
      </w:r>
      <w:r w:rsidR="002E3EAE">
        <w:t>hence improves</w:t>
      </w:r>
      <w:r>
        <w:t xml:space="preserve"> overall OPEX performance of the power system.</w:t>
      </w:r>
    </w:p>
    <w:p w14:paraId="0238D396" w14:textId="5919E0F5" w:rsidR="006F283C" w:rsidRDefault="006F283C" w:rsidP="00AC52C1">
      <w:pPr>
        <w:pStyle w:val="Heading2"/>
      </w:pPr>
      <w:bookmarkStart w:id="37" w:name="_Toc393749910"/>
      <w:r>
        <w:t>Comparative analysis of Green Technologies and their Feasibility parameters</w:t>
      </w:r>
      <w:bookmarkEnd w:id="37"/>
    </w:p>
    <w:p w14:paraId="79291EBD" w14:textId="30ACC904" w:rsidR="007F2E94" w:rsidRDefault="00F5773F" w:rsidP="00F5773F">
      <w:r>
        <w:t xml:space="preserve">The choice of feasible green power technology depends on various technology specific parameters as well as overall powering context of telecom base station site. Following the technical and commercial feasibility of a particular green technology, we need to look into site specific and operating context in order </w:t>
      </w:r>
      <w:proofErr w:type="gramStart"/>
      <w:r>
        <w:t>understand</w:t>
      </w:r>
      <w:proofErr w:type="gramEnd"/>
      <w:r>
        <w:t xml:space="preserve"> the most appropriate deployment choice.</w:t>
      </w:r>
    </w:p>
    <w:p w14:paraId="2177A2C6" w14:textId="77777777" w:rsidR="00F5773F" w:rsidRDefault="00F5773F" w:rsidP="00F5773F"/>
    <w:p w14:paraId="7BA752BA" w14:textId="68695719" w:rsidR="00892B94" w:rsidRDefault="00892B94" w:rsidP="00F5773F">
      <w:r>
        <w:t xml:space="preserve">The pros and cons of various green choices </w:t>
      </w:r>
      <w:r w:rsidR="00AE60B1">
        <w:t>are</w:t>
      </w:r>
      <w:r>
        <w:t xml:space="preserve"> presented below.</w:t>
      </w:r>
    </w:p>
    <w:p w14:paraId="5C447911" w14:textId="02880E7C" w:rsidR="00310E6F" w:rsidRDefault="00AE60B1" w:rsidP="00AE60B1">
      <w:pPr>
        <w:pStyle w:val="Caption"/>
      </w:pPr>
      <w:bookmarkStart w:id="38" w:name="_Toc393749927"/>
      <w:r>
        <w:t xml:space="preserve">Table </w:t>
      </w:r>
      <w:fldSimple w:instr=" SEQ Table \* ARABIC ">
        <w:r>
          <w:rPr>
            <w:noProof/>
          </w:rPr>
          <w:t>4</w:t>
        </w:r>
      </w:fldSimple>
      <w:r>
        <w:t>: Comparison of green technologies: Pros and Cons</w:t>
      </w:r>
      <w:bookmarkEnd w:id="38"/>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701"/>
        <w:gridCol w:w="3704"/>
        <w:gridCol w:w="3465"/>
      </w:tblGrid>
      <w:tr w:rsidR="00805FDE" w14:paraId="704F74AC" w14:textId="77777777" w:rsidTr="0051720D">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7C695F0A" w14:textId="77777777" w:rsidR="00805FDE" w:rsidRDefault="00805FDE" w:rsidP="0051720D">
            <w:pPr>
              <w:jc w:val="left"/>
            </w:pPr>
          </w:p>
        </w:tc>
        <w:tc>
          <w:tcPr>
            <w:tcW w:w="208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71700468" w14:textId="3D9F861F" w:rsidR="00805FDE" w:rsidRPr="00BE6A26" w:rsidRDefault="00805FDE" w:rsidP="0051720D">
            <w:pPr>
              <w:jc w:val="left"/>
              <w:rPr>
                <w:color w:val="FFFFFF" w:themeColor="background1"/>
              </w:rPr>
            </w:pPr>
            <w:r>
              <w:rPr>
                <w:color w:val="FFFFFF" w:themeColor="background1"/>
              </w:rPr>
              <w:t>Pros</w:t>
            </w:r>
          </w:p>
        </w:tc>
        <w:tc>
          <w:tcPr>
            <w:tcW w:w="1953" w:type="pct"/>
            <w:tcBorders>
              <w:top w:val="single" w:sz="4" w:space="0" w:color="FFFFFF" w:themeColor="background1"/>
              <w:left w:val="single" w:sz="4" w:space="0" w:color="FFFFFF" w:themeColor="background1"/>
              <w:bottom w:val="single" w:sz="4" w:space="0" w:color="FFFFFF" w:themeColor="background1"/>
              <w:right w:val="single" w:sz="4" w:space="0" w:color="A6A6A6" w:themeColor="background1" w:themeShade="A6"/>
            </w:tcBorders>
            <w:shd w:val="clear" w:color="auto" w:fill="71AC7A"/>
            <w:vAlign w:val="center"/>
          </w:tcPr>
          <w:p w14:paraId="7165FAB2" w14:textId="2C8803B4" w:rsidR="00805FDE" w:rsidRPr="00BE6A26" w:rsidRDefault="00805FDE" w:rsidP="0051720D">
            <w:pPr>
              <w:jc w:val="left"/>
              <w:rPr>
                <w:color w:val="FFFFFF" w:themeColor="background1"/>
              </w:rPr>
            </w:pPr>
            <w:r>
              <w:rPr>
                <w:color w:val="FFFFFF" w:themeColor="background1"/>
              </w:rPr>
              <w:t>Cons</w:t>
            </w:r>
          </w:p>
        </w:tc>
      </w:tr>
      <w:tr w:rsidR="00805FDE" w14:paraId="750D369D" w14:textId="77777777" w:rsidTr="0051720D">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333BEDFC" w14:textId="7E038092" w:rsidR="00805FDE" w:rsidRPr="00BE6A26" w:rsidRDefault="00805FDE" w:rsidP="0051720D">
            <w:pPr>
              <w:jc w:val="left"/>
              <w:rPr>
                <w:color w:val="FFFFFF" w:themeColor="background1"/>
              </w:rPr>
            </w:pPr>
            <w:r>
              <w:rPr>
                <w:color w:val="FFFFFF" w:themeColor="background1"/>
              </w:rPr>
              <w:t>Solar</w:t>
            </w:r>
          </w:p>
        </w:tc>
        <w:tc>
          <w:tcPr>
            <w:tcW w:w="2088" w:type="pct"/>
            <w:tcBorders>
              <w:top w:val="single" w:sz="4" w:space="0" w:color="FFFFFF" w:themeColor="background1"/>
              <w:left w:val="single" w:sz="4" w:space="0" w:color="FFFFFF" w:themeColor="background1"/>
              <w:bottom w:val="single" w:sz="4" w:space="0" w:color="A6A6A6" w:themeColor="background1" w:themeShade="A6"/>
              <w:right w:val="single" w:sz="4" w:space="0" w:color="A6A6A6" w:themeColor="background1" w:themeShade="A6"/>
            </w:tcBorders>
            <w:vAlign w:val="center"/>
          </w:tcPr>
          <w:p w14:paraId="05F309DA" w14:textId="3829DDFD" w:rsidR="00805FDE" w:rsidRDefault="00805FDE" w:rsidP="0051720D">
            <w:pPr>
              <w:pStyle w:val="ListParagraph"/>
              <w:numPr>
                <w:ilvl w:val="0"/>
                <w:numId w:val="6"/>
              </w:numPr>
              <w:jc w:val="left"/>
            </w:pPr>
            <w:r>
              <w:t>U</w:t>
            </w:r>
            <w:r w:rsidRPr="00FE314B">
              <w:t xml:space="preserve">biquitously available </w:t>
            </w:r>
            <w:r>
              <w:t xml:space="preserve">solar resource </w:t>
            </w:r>
          </w:p>
          <w:p w14:paraId="73D8A3E4" w14:textId="6AA22743" w:rsidR="00805FDE" w:rsidRDefault="00805FDE" w:rsidP="0051720D">
            <w:pPr>
              <w:pStyle w:val="ListParagraph"/>
              <w:numPr>
                <w:ilvl w:val="0"/>
                <w:numId w:val="6"/>
              </w:numPr>
              <w:jc w:val="left"/>
            </w:pPr>
            <w:r>
              <w:t>S</w:t>
            </w:r>
            <w:r w:rsidRPr="00FE314B">
              <w:t>uitable for distributed power generation</w:t>
            </w:r>
          </w:p>
          <w:p w14:paraId="6F956187" w14:textId="6676EE68" w:rsidR="00805FDE" w:rsidRDefault="00805FDE" w:rsidP="0051720D">
            <w:pPr>
              <w:pStyle w:val="ListParagraph"/>
              <w:numPr>
                <w:ilvl w:val="0"/>
                <w:numId w:val="6"/>
              </w:numPr>
              <w:jc w:val="left"/>
            </w:pPr>
            <w:r>
              <w:t>W</w:t>
            </w:r>
            <w:r w:rsidRPr="00FE314B">
              <w:t>idely scalable owing to its modular technology</w:t>
            </w:r>
            <w:r>
              <w:t xml:space="preserve"> </w:t>
            </w:r>
          </w:p>
          <w:p w14:paraId="715E67AC" w14:textId="77777777" w:rsidR="00805FDE" w:rsidRDefault="00805FDE" w:rsidP="0051720D">
            <w:pPr>
              <w:pStyle w:val="ListParagraph"/>
              <w:numPr>
                <w:ilvl w:val="0"/>
                <w:numId w:val="6"/>
              </w:numPr>
              <w:jc w:val="left"/>
            </w:pPr>
            <w:r>
              <w:t>No maintenance cost of solar panels, except for some un-skilled labor cleaning the panels occasionally</w:t>
            </w:r>
          </w:p>
          <w:p w14:paraId="5CD75653" w14:textId="77777777" w:rsidR="00805FDE" w:rsidRDefault="00805FDE" w:rsidP="0051720D">
            <w:pPr>
              <w:pStyle w:val="ListParagraph"/>
              <w:numPr>
                <w:ilvl w:val="0"/>
                <w:numId w:val="6"/>
              </w:numPr>
              <w:jc w:val="left"/>
            </w:pPr>
            <w:r>
              <w:lastRenderedPageBreak/>
              <w:t>Cost-competitiveness compared to other green technology options</w:t>
            </w:r>
          </w:p>
          <w:p w14:paraId="542683D9" w14:textId="7820C97A" w:rsidR="0051720D" w:rsidRDefault="0051720D" w:rsidP="0051720D">
            <w:pPr>
              <w:pStyle w:val="ListParagraph"/>
              <w:numPr>
                <w:ilvl w:val="0"/>
                <w:numId w:val="6"/>
              </w:numPr>
              <w:jc w:val="left"/>
            </w:pPr>
            <w:r>
              <w:t>Reached commercial scale of adoption for small scale applications</w:t>
            </w:r>
          </w:p>
        </w:tc>
        <w:tc>
          <w:tcPr>
            <w:tcW w:w="1953" w:type="pct"/>
            <w:tcBorders>
              <w:top w:val="single" w:sz="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FAF8882" w14:textId="0A4355E3" w:rsidR="0064791A" w:rsidRDefault="0064791A" w:rsidP="0051720D">
            <w:pPr>
              <w:pStyle w:val="ListParagraph"/>
              <w:numPr>
                <w:ilvl w:val="0"/>
                <w:numId w:val="6"/>
              </w:numPr>
              <w:jc w:val="left"/>
            </w:pPr>
            <w:r>
              <w:lastRenderedPageBreak/>
              <w:t xml:space="preserve">High space requirements for </w:t>
            </w:r>
            <w:r w:rsidR="006C4A03">
              <w:t>higher capacity deployments</w:t>
            </w:r>
          </w:p>
          <w:p w14:paraId="6E4F199B" w14:textId="77777777" w:rsidR="00805FDE" w:rsidRDefault="006C4A03" w:rsidP="0051720D">
            <w:pPr>
              <w:pStyle w:val="ListParagraph"/>
              <w:numPr>
                <w:ilvl w:val="0"/>
                <w:numId w:val="6"/>
              </w:numPr>
              <w:jc w:val="left"/>
            </w:pPr>
            <w:r>
              <w:t>H</w:t>
            </w:r>
            <w:r w:rsidR="0064791A">
              <w:t>igh upfront CAPEX</w:t>
            </w:r>
            <w:r>
              <w:t xml:space="preserve"> compared traditional diesel based solutions</w:t>
            </w:r>
          </w:p>
          <w:p w14:paraId="78C33D22" w14:textId="58054E8C" w:rsidR="006C4A03" w:rsidRDefault="006C4A03" w:rsidP="0051720D">
            <w:pPr>
              <w:pStyle w:val="ListParagraph"/>
              <w:numPr>
                <w:ilvl w:val="0"/>
                <w:numId w:val="6"/>
              </w:numPr>
              <w:jc w:val="left"/>
            </w:pPr>
            <w:r>
              <w:t>Theft and vandalism of panels leading to high risk of investment in Solar</w:t>
            </w:r>
          </w:p>
        </w:tc>
      </w:tr>
      <w:tr w:rsidR="00805FDE" w14:paraId="438CE775" w14:textId="77777777" w:rsidTr="0051720D">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16F50938" w14:textId="6B9631B0" w:rsidR="00805FDE" w:rsidRPr="00BE6A26" w:rsidRDefault="00805FDE" w:rsidP="0051720D">
            <w:pPr>
              <w:jc w:val="left"/>
              <w:rPr>
                <w:color w:val="FFFFFF" w:themeColor="background1"/>
              </w:rPr>
            </w:pPr>
            <w:r>
              <w:rPr>
                <w:color w:val="FFFFFF" w:themeColor="background1"/>
              </w:rPr>
              <w:lastRenderedPageBreak/>
              <w:t>Wind</w:t>
            </w:r>
          </w:p>
        </w:tc>
        <w:tc>
          <w:tcPr>
            <w:tcW w:w="2088" w:type="pct"/>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2F106E4D" w14:textId="77777777" w:rsidR="00BD44CE" w:rsidRDefault="00BD44CE" w:rsidP="0051720D">
            <w:pPr>
              <w:pStyle w:val="ListParagraph"/>
              <w:numPr>
                <w:ilvl w:val="0"/>
                <w:numId w:val="6"/>
              </w:numPr>
              <w:jc w:val="left"/>
            </w:pPr>
            <w:r>
              <w:t>Suitable for small scale distributed power generation</w:t>
            </w:r>
          </w:p>
          <w:p w14:paraId="335952D7" w14:textId="37A508B4" w:rsidR="00BD44CE" w:rsidRDefault="00BD44CE" w:rsidP="0051720D">
            <w:pPr>
              <w:pStyle w:val="ListParagraph"/>
              <w:numPr>
                <w:ilvl w:val="0"/>
                <w:numId w:val="6"/>
              </w:numPr>
              <w:jc w:val="left"/>
            </w:pPr>
            <w:r>
              <w:t>Less space requirement compared to Solar</w:t>
            </w:r>
          </w:p>
        </w:tc>
        <w:tc>
          <w:tcPr>
            <w:tcW w:w="19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ECD9DBD" w14:textId="4CB384F8" w:rsidR="00BD44CE" w:rsidRDefault="00BD44CE" w:rsidP="0051720D">
            <w:pPr>
              <w:pStyle w:val="ListParagraph"/>
              <w:numPr>
                <w:ilvl w:val="0"/>
                <w:numId w:val="6"/>
              </w:numPr>
              <w:jc w:val="left"/>
            </w:pPr>
            <w:r>
              <w:t>Low reliability – due to the variability of wind speed; Wind energy costs sensitive to wind resources</w:t>
            </w:r>
          </w:p>
          <w:p w14:paraId="55A242CB" w14:textId="37D83555" w:rsidR="00BD44CE" w:rsidRDefault="0051720D" w:rsidP="0051720D">
            <w:pPr>
              <w:pStyle w:val="ListParagraph"/>
              <w:numPr>
                <w:ilvl w:val="0"/>
                <w:numId w:val="6"/>
              </w:numPr>
              <w:jc w:val="left"/>
            </w:pPr>
            <w:r>
              <w:t>Low scalability and H</w:t>
            </w:r>
            <w:r w:rsidR="00BD44CE">
              <w:t>igh investment</w:t>
            </w:r>
          </w:p>
          <w:p w14:paraId="564B367C" w14:textId="29F1CFBA" w:rsidR="00805FDE" w:rsidRDefault="00BD44CE" w:rsidP="0051720D">
            <w:pPr>
              <w:pStyle w:val="ListParagraph"/>
              <w:numPr>
                <w:ilvl w:val="0"/>
                <w:numId w:val="6"/>
              </w:numPr>
              <w:jc w:val="left"/>
            </w:pPr>
            <w:r>
              <w:t>Need tall towers, 20 – 40m for optimum power generation</w:t>
            </w:r>
          </w:p>
          <w:p w14:paraId="25D861A3" w14:textId="77777777" w:rsidR="00BD44CE" w:rsidRDefault="00BD44CE" w:rsidP="0051720D">
            <w:pPr>
              <w:pStyle w:val="ListParagraph"/>
              <w:numPr>
                <w:ilvl w:val="0"/>
                <w:numId w:val="6"/>
              </w:numPr>
              <w:jc w:val="left"/>
            </w:pPr>
            <w:r>
              <w:t>Reliability of wind products varies widely</w:t>
            </w:r>
          </w:p>
          <w:p w14:paraId="3E2F9C53" w14:textId="79FD2CC8" w:rsidR="00BD44CE" w:rsidRDefault="00BD44CE" w:rsidP="0051720D">
            <w:pPr>
              <w:pStyle w:val="ListParagraph"/>
              <w:numPr>
                <w:ilvl w:val="0"/>
                <w:numId w:val="6"/>
              </w:numPr>
              <w:jc w:val="left"/>
            </w:pPr>
            <w:r>
              <w:t>High regular maintenance costs</w:t>
            </w:r>
          </w:p>
        </w:tc>
      </w:tr>
      <w:tr w:rsidR="00805FDE" w14:paraId="5FB795B4" w14:textId="77777777" w:rsidTr="0051720D">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0F983C0A" w14:textId="61295AD0" w:rsidR="00805FDE" w:rsidRPr="00BE6A26" w:rsidRDefault="00805FDE" w:rsidP="0051720D">
            <w:pPr>
              <w:jc w:val="left"/>
              <w:rPr>
                <w:color w:val="FFFFFF" w:themeColor="background1"/>
              </w:rPr>
            </w:pPr>
            <w:r>
              <w:rPr>
                <w:color w:val="FFFFFF" w:themeColor="background1"/>
              </w:rPr>
              <w:t>Fuel Cell</w:t>
            </w:r>
          </w:p>
        </w:tc>
        <w:tc>
          <w:tcPr>
            <w:tcW w:w="2088" w:type="pct"/>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59D0ACA9" w14:textId="77777777" w:rsidR="0051720D" w:rsidRDefault="0051720D" w:rsidP="0051720D">
            <w:pPr>
              <w:pStyle w:val="ListParagraph"/>
              <w:numPr>
                <w:ilvl w:val="0"/>
                <w:numId w:val="6"/>
              </w:numPr>
              <w:jc w:val="left"/>
            </w:pPr>
            <w:r>
              <w:t>Reliable technology</w:t>
            </w:r>
          </w:p>
          <w:p w14:paraId="357CAB7B" w14:textId="77777777" w:rsidR="0051720D" w:rsidRDefault="0051720D" w:rsidP="0051720D">
            <w:pPr>
              <w:pStyle w:val="ListParagraph"/>
              <w:numPr>
                <w:ilvl w:val="0"/>
                <w:numId w:val="6"/>
              </w:numPr>
              <w:jc w:val="left"/>
            </w:pPr>
            <w:r>
              <w:t>Compact system and requires less space</w:t>
            </w:r>
          </w:p>
          <w:p w14:paraId="0ACB7098" w14:textId="77777777" w:rsidR="0051720D" w:rsidRDefault="0051720D" w:rsidP="0051720D">
            <w:pPr>
              <w:pStyle w:val="ListParagraph"/>
              <w:numPr>
                <w:ilvl w:val="0"/>
                <w:numId w:val="6"/>
              </w:numPr>
              <w:jc w:val="left"/>
            </w:pPr>
            <w:r>
              <w:t>Suitable for rooftop and urban contexts</w:t>
            </w:r>
          </w:p>
          <w:p w14:paraId="39AB21B4" w14:textId="77777777" w:rsidR="0051720D" w:rsidRDefault="0051720D" w:rsidP="0051720D">
            <w:pPr>
              <w:pStyle w:val="ListParagraph"/>
              <w:numPr>
                <w:ilvl w:val="0"/>
                <w:numId w:val="6"/>
              </w:numPr>
              <w:jc w:val="left"/>
            </w:pPr>
            <w:r>
              <w:t>Low Maintenance</w:t>
            </w:r>
          </w:p>
          <w:p w14:paraId="7538CFDA" w14:textId="77777777" w:rsidR="0051720D" w:rsidRDefault="0051720D" w:rsidP="0051720D">
            <w:pPr>
              <w:pStyle w:val="ListParagraph"/>
              <w:numPr>
                <w:ilvl w:val="0"/>
                <w:numId w:val="6"/>
              </w:numPr>
              <w:jc w:val="left"/>
            </w:pPr>
            <w:r>
              <w:t>Low emissions and low noise</w:t>
            </w:r>
          </w:p>
          <w:p w14:paraId="3BB4AFF5" w14:textId="014F4F6E" w:rsidR="00805FDE" w:rsidRDefault="0051720D" w:rsidP="00310E6F">
            <w:pPr>
              <w:pStyle w:val="ListParagraph"/>
              <w:numPr>
                <w:ilvl w:val="0"/>
                <w:numId w:val="6"/>
              </w:numPr>
              <w:jc w:val="left"/>
            </w:pPr>
            <w:r>
              <w:t xml:space="preserve">Less </w:t>
            </w:r>
            <w:r w:rsidR="00310E6F">
              <w:t xml:space="preserve">prone to </w:t>
            </w:r>
            <w:r>
              <w:t>theft</w:t>
            </w:r>
            <w:r w:rsidR="00310E6F">
              <w:t xml:space="preserve"> and vandalism</w:t>
            </w:r>
          </w:p>
        </w:tc>
        <w:tc>
          <w:tcPr>
            <w:tcW w:w="19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9772162" w14:textId="5252D7AB" w:rsidR="00310E6F" w:rsidRDefault="00310E6F" w:rsidP="00310E6F">
            <w:pPr>
              <w:pStyle w:val="ListParagraph"/>
              <w:numPr>
                <w:ilvl w:val="0"/>
                <w:numId w:val="6"/>
              </w:numPr>
              <w:jc w:val="left"/>
            </w:pPr>
            <w:r>
              <w:t>High upfront investment and cost of technology makes less cost-effective green choice</w:t>
            </w:r>
          </w:p>
          <w:p w14:paraId="7BBA03C4" w14:textId="77777777" w:rsidR="00310E6F" w:rsidRDefault="00310E6F" w:rsidP="00310E6F">
            <w:pPr>
              <w:pStyle w:val="ListParagraph"/>
              <w:numPr>
                <w:ilvl w:val="0"/>
                <w:numId w:val="6"/>
              </w:numPr>
              <w:jc w:val="left"/>
            </w:pPr>
            <w:r>
              <w:t>Highly dependent on fuel supply eco-system and logistics; Requires to build fuel reformer plants and supply chain for reliable performance</w:t>
            </w:r>
          </w:p>
          <w:p w14:paraId="4384FBAB" w14:textId="2A2F6878" w:rsidR="00310E6F" w:rsidRDefault="00310E6F" w:rsidP="00310E6F">
            <w:pPr>
              <w:pStyle w:val="ListParagraph"/>
              <w:numPr>
                <w:ilvl w:val="0"/>
                <w:numId w:val="6"/>
              </w:numPr>
              <w:jc w:val="left"/>
            </w:pPr>
            <w:r>
              <w:t>Low range of capacities for distributed generation</w:t>
            </w:r>
          </w:p>
        </w:tc>
      </w:tr>
      <w:tr w:rsidR="00805FDE" w14:paraId="76F8D72C" w14:textId="77777777" w:rsidTr="0051720D">
        <w:trPr>
          <w:trHeight w:val="440"/>
        </w:trPr>
        <w:tc>
          <w:tcPr>
            <w:tcW w:w="9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1AC7A"/>
            <w:vAlign w:val="center"/>
          </w:tcPr>
          <w:p w14:paraId="19F4E4B9" w14:textId="4363BB21" w:rsidR="00805FDE" w:rsidRDefault="00805FDE" w:rsidP="0051720D">
            <w:pPr>
              <w:jc w:val="left"/>
              <w:rPr>
                <w:color w:val="FFFFFF" w:themeColor="background1"/>
              </w:rPr>
            </w:pPr>
            <w:r>
              <w:rPr>
                <w:color w:val="FFFFFF" w:themeColor="background1"/>
              </w:rPr>
              <w:t>Biomass</w:t>
            </w:r>
          </w:p>
        </w:tc>
        <w:tc>
          <w:tcPr>
            <w:tcW w:w="2088" w:type="pct"/>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59144B53" w14:textId="77777777" w:rsidR="00310E6F" w:rsidRDefault="00310E6F" w:rsidP="00310E6F">
            <w:pPr>
              <w:pStyle w:val="ListParagraph"/>
              <w:numPr>
                <w:ilvl w:val="0"/>
                <w:numId w:val="6"/>
              </w:numPr>
              <w:jc w:val="left"/>
            </w:pPr>
            <w:r>
              <w:t>Abundant biomass potential</w:t>
            </w:r>
          </w:p>
          <w:p w14:paraId="7A9A8744" w14:textId="1A04BE95" w:rsidR="00310E6F" w:rsidRDefault="00310E6F" w:rsidP="00310E6F">
            <w:pPr>
              <w:pStyle w:val="ListParagraph"/>
              <w:numPr>
                <w:ilvl w:val="0"/>
                <w:numId w:val="6"/>
              </w:numPr>
              <w:jc w:val="left"/>
            </w:pPr>
            <w:r>
              <w:t>Wide range of plant capacities</w:t>
            </w:r>
          </w:p>
          <w:p w14:paraId="15442CEC" w14:textId="77777777" w:rsidR="00310E6F" w:rsidRDefault="00310E6F" w:rsidP="00310E6F">
            <w:pPr>
              <w:pStyle w:val="ListParagraph"/>
              <w:numPr>
                <w:ilvl w:val="0"/>
                <w:numId w:val="6"/>
              </w:numPr>
              <w:jc w:val="left"/>
            </w:pPr>
            <w:r>
              <w:t>High reliability can be achieved with strong supply chain integration</w:t>
            </w:r>
          </w:p>
          <w:p w14:paraId="62F753F0" w14:textId="737C1EE4" w:rsidR="00805FDE" w:rsidRPr="00CF22B5" w:rsidRDefault="00310E6F" w:rsidP="00310E6F">
            <w:pPr>
              <w:pStyle w:val="ListParagraph"/>
              <w:numPr>
                <w:ilvl w:val="0"/>
                <w:numId w:val="6"/>
              </w:numPr>
              <w:jc w:val="left"/>
            </w:pPr>
            <w:r>
              <w:t>Technology is widely available</w:t>
            </w:r>
          </w:p>
        </w:tc>
        <w:tc>
          <w:tcPr>
            <w:tcW w:w="19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44152F1" w14:textId="77777777" w:rsidR="00310E6F" w:rsidRDefault="00310E6F" w:rsidP="00310E6F">
            <w:pPr>
              <w:pStyle w:val="ListParagraph"/>
              <w:numPr>
                <w:ilvl w:val="0"/>
                <w:numId w:val="6"/>
              </w:numPr>
              <w:jc w:val="left"/>
            </w:pPr>
            <w:r>
              <w:t>Operational complexity</w:t>
            </w:r>
          </w:p>
          <w:p w14:paraId="71799305" w14:textId="77777777" w:rsidR="00310E6F" w:rsidRDefault="00310E6F" w:rsidP="00310E6F">
            <w:pPr>
              <w:pStyle w:val="ListParagraph"/>
              <w:numPr>
                <w:ilvl w:val="0"/>
                <w:numId w:val="6"/>
              </w:numPr>
              <w:jc w:val="left"/>
            </w:pPr>
            <w:r>
              <w:t>High resource and operations costs</w:t>
            </w:r>
          </w:p>
          <w:p w14:paraId="3144E28D" w14:textId="06E4E0D3" w:rsidR="00310E6F" w:rsidRDefault="00310E6F" w:rsidP="00310E6F">
            <w:pPr>
              <w:pStyle w:val="ListParagraph"/>
              <w:numPr>
                <w:ilvl w:val="0"/>
                <w:numId w:val="6"/>
              </w:numPr>
              <w:jc w:val="left"/>
            </w:pPr>
            <w:r>
              <w:t>Biomass feed supply challenges and dependence on unreliable supply chain eco-system</w:t>
            </w:r>
          </w:p>
          <w:p w14:paraId="455C0A02" w14:textId="1591C157" w:rsidR="00805FDE" w:rsidRPr="00CF22B5" w:rsidRDefault="00310E6F" w:rsidP="00310E6F">
            <w:pPr>
              <w:pStyle w:val="ListParagraph"/>
              <w:numPr>
                <w:ilvl w:val="0"/>
                <w:numId w:val="6"/>
              </w:numPr>
              <w:jc w:val="left"/>
            </w:pPr>
            <w:r>
              <w:t>Sensitive to cost of inputs due fluctuating feed prices</w:t>
            </w:r>
          </w:p>
        </w:tc>
      </w:tr>
    </w:tbl>
    <w:p w14:paraId="73D53CC8" w14:textId="77777777" w:rsidR="00805FDE" w:rsidRDefault="00805FDE" w:rsidP="00F5773F"/>
    <w:p w14:paraId="69132380" w14:textId="3FF11FBC" w:rsidR="000A42AE" w:rsidRDefault="00EC70C3" w:rsidP="004A3D29">
      <w:pPr>
        <w:pStyle w:val="Heading3"/>
      </w:pPr>
      <w:bookmarkStart w:id="39" w:name="_Toc393749911"/>
      <w:r>
        <w:t xml:space="preserve">Comparison of Power Generation </w:t>
      </w:r>
      <w:r w:rsidR="000A42AE">
        <w:t>Cost</w:t>
      </w:r>
      <w:r>
        <w:t>s</w:t>
      </w:r>
      <w:r w:rsidR="000A42AE">
        <w:t xml:space="preserve"> </w:t>
      </w:r>
      <w:r>
        <w:t>per kWh</w:t>
      </w:r>
      <w:bookmarkEnd w:id="39"/>
    </w:p>
    <w:p w14:paraId="1D067610" w14:textId="49459E8B" w:rsidR="008B453B" w:rsidRDefault="008B453B" w:rsidP="002352BD">
      <w:r>
        <w:t xml:space="preserve">The levelized of cost of energy (LCOE) differs with type of green technology deployed. For a typical telecom site with 1.5kW load, and </w:t>
      </w:r>
      <w:r w:rsidR="00D62534">
        <w:t>a green power design with approximately 6</w:t>
      </w:r>
      <w:r>
        <w:t>0% green energy contribution, the below fi</w:t>
      </w:r>
      <w:r w:rsidR="00D62534">
        <w:t xml:space="preserve">gure illustrates the cost of energy ($/kWh) </w:t>
      </w:r>
      <w:r>
        <w:t>for various green technologies.</w:t>
      </w:r>
    </w:p>
    <w:p w14:paraId="5DECB2A2" w14:textId="77777777" w:rsidR="00B34814" w:rsidRDefault="00B34814" w:rsidP="002352BD"/>
    <w:p w14:paraId="5C6C3C7C" w14:textId="582ED97A" w:rsidR="008B453B" w:rsidRDefault="00B34814" w:rsidP="00B34814">
      <w:pPr>
        <w:pStyle w:val="Caption"/>
      </w:pPr>
      <w:bookmarkStart w:id="40" w:name="_Toc393749923"/>
      <w:r>
        <w:t xml:space="preserve">Figure </w:t>
      </w:r>
      <w:fldSimple w:instr=" SEQ Figure \* ARABIC ">
        <w:r>
          <w:rPr>
            <w:noProof/>
          </w:rPr>
          <w:t>11</w:t>
        </w:r>
      </w:fldSimple>
      <w:r>
        <w:t>: Comparison green technologies: Cost of generation ($ / kWh)</w:t>
      </w:r>
      <w:bookmarkEnd w:id="40"/>
    </w:p>
    <w:p w14:paraId="460346F7" w14:textId="7340032E" w:rsidR="008610B9" w:rsidRDefault="00C94A50" w:rsidP="002352BD">
      <w:r>
        <w:rPr>
          <w:noProof/>
        </w:rPr>
        <w:lastRenderedPageBreak/>
        <w:drawing>
          <wp:inline distT="0" distB="0" distL="0" distR="0" wp14:anchorId="38DE7B27" wp14:editId="213A0130">
            <wp:extent cx="5334000" cy="2705100"/>
            <wp:effectExtent l="0" t="0" r="19050" b="1905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147B464" w14:textId="77777777" w:rsidR="00D62534" w:rsidRDefault="00D62534" w:rsidP="002352BD"/>
    <w:p w14:paraId="56E02663" w14:textId="2DF4A84B" w:rsidR="00D62534" w:rsidRDefault="00367E3C" w:rsidP="002352BD">
      <w:r>
        <w:t xml:space="preserve">As shown in the example above, the solar power solution has the lowest cost of energy ($/kWh) compared to other technologies. This has been mainly due to the drastic reduction in solar module prices across the world owing to increased manufacturing capacities and huge economies of scale. </w:t>
      </w:r>
      <w:r w:rsidR="00DB704D">
        <w:t>The wind technology, once a very cost competitive technology choice as compared to solar, has not seen much significant cost reduction over the years. However, new product development and improvements in balance of system components (such as the innovative tower designs) has enabled wind turbine supplier to improve the cost competitiveness of wind power solutions for telecom base station sites.</w:t>
      </w:r>
    </w:p>
    <w:p w14:paraId="58BB8BF2" w14:textId="77777777" w:rsidR="00DB704D" w:rsidRDefault="00DB704D" w:rsidP="002352BD"/>
    <w:p w14:paraId="1DE915DF" w14:textId="626B07B7" w:rsidR="00DB704D" w:rsidRDefault="00E8204C" w:rsidP="002352BD">
      <w:r>
        <w:t xml:space="preserve">Fuel cell technology is far from reaching the cost competitiveness of other green technologies such as solar PV or wind turbine technologies. However, fuel-cell power systems have gained traction especially for specific conditions such as urban, rooftop and bad-grid areas where the practical feasibility of solar or wind is a challenge. Also, </w:t>
      </w:r>
      <w:r w:rsidR="004155DA">
        <w:t>shown in the above diagram,</w:t>
      </w:r>
      <w:r>
        <w:t xml:space="preserve"> </w:t>
      </w:r>
      <w:r w:rsidR="004155DA">
        <w:t>fuel-cell power systems present a cost effective alternative when compared to diesel-battery power systems, in addition to many benefits such as low noise, high reliability, and environment friendliness.</w:t>
      </w:r>
    </w:p>
    <w:p w14:paraId="488A3A51" w14:textId="77777777" w:rsidR="00111CF6" w:rsidRDefault="00111CF6" w:rsidP="002352BD"/>
    <w:p w14:paraId="79EC10E9" w14:textId="628CFAE1" w:rsidR="00111CF6" w:rsidRDefault="00111CF6" w:rsidP="002352BD">
      <w:r>
        <w:t xml:space="preserve">Besides the generation costs, the MNOs and Tower Cos need to consider other </w:t>
      </w:r>
      <w:proofErr w:type="gramStart"/>
      <w:r>
        <w:t>site specific</w:t>
      </w:r>
      <w:proofErr w:type="gramEnd"/>
      <w:r>
        <w:t xml:space="preserve"> conditions in order select the best suitable green technology choice for powering the networks. </w:t>
      </w:r>
      <w:r w:rsidR="002C46C0">
        <w:t xml:space="preserve">Therefore, a right selection of green technology have to take into consideration </w:t>
      </w:r>
      <w:r w:rsidR="00023B55">
        <w:t xml:space="preserve">various design, commercial, deployment factors including </w:t>
      </w:r>
      <w:r w:rsidR="002C46C0">
        <w:t>– optimum design parameters</w:t>
      </w:r>
      <w:r w:rsidR="00023B55">
        <w:t xml:space="preserve"> for efficient power generation</w:t>
      </w:r>
      <w:r w:rsidR="002C46C0">
        <w:t xml:space="preserve">, optimum OPEX savings and TCO, practical deployment parameters such as space, noise levels, rooftop conditions etc. </w:t>
      </w:r>
    </w:p>
    <w:p w14:paraId="3350257D" w14:textId="77777777" w:rsidR="008B453B" w:rsidRPr="002352BD" w:rsidRDefault="008B453B" w:rsidP="002352BD"/>
    <w:p w14:paraId="0BF5551F" w14:textId="77777777" w:rsidR="002352BD" w:rsidRDefault="002352BD">
      <w:pPr>
        <w:spacing w:line="240" w:lineRule="auto"/>
        <w:jc w:val="left"/>
        <w:rPr>
          <w:rFonts w:eastAsiaTheme="majorEastAsia" w:cstheme="majorBidi"/>
          <w:b/>
          <w:bCs/>
          <w:color w:val="71AC7A"/>
          <w:sz w:val="36"/>
          <w:szCs w:val="32"/>
          <w:bdr w:val="nil"/>
        </w:rPr>
      </w:pPr>
      <w:r>
        <w:br w:type="page"/>
      </w:r>
    </w:p>
    <w:p w14:paraId="7163A0C5" w14:textId="7414803D" w:rsidR="002352BD" w:rsidRDefault="002352BD" w:rsidP="002352BD">
      <w:pPr>
        <w:pStyle w:val="Heading1"/>
      </w:pPr>
      <w:bookmarkStart w:id="41" w:name="_Toc393749912"/>
      <w:r>
        <w:lastRenderedPageBreak/>
        <w:t>Conclusion</w:t>
      </w:r>
      <w:bookmarkEnd w:id="41"/>
    </w:p>
    <w:p w14:paraId="4D91CC17" w14:textId="1447CD1A" w:rsidR="00C438A2" w:rsidRDefault="00C438A2" w:rsidP="00C438A2">
      <w:pPr>
        <w:rPr>
          <w:lang w:val="en-GB"/>
        </w:rPr>
      </w:pPr>
      <w:r>
        <w:rPr>
          <w:lang w:val="en-GB"/>
        </w:rPr>
        <w:t xml:space="preserve">The approach to green power feasibility based on key design and commercial parameters will require a comprehensive design and comparative financial analysis. The technical design will have a strong impact on the financial feasibility of the solution. Therefore, an optimum design based on right selection of design parameters such as green energy contribution, </w:t>
      </w:r>
      <w:r w:rsidR="00C73498">
        <w:rPr>
          <w:lang w:val="en-GB"/>
        </w:rPr>
        <w:t xml:space="preserve">generation efficiency, </w:t>
      </w:r>
      <w:r>
        <w:rPr>
          <w:lang w:val="en-GB"/>
        </w:rPr>
        <w:t>load and tenancy, and the availability of renewable resources is essential for choosing the best possible energy solution for powering up the telecom sites.</w:t>
      </w:r>
    </w:p>
    <w:p w14:paraId="6D4F7F92" w14:textId="77777777" w:rsidR="00C438A2" w:rsidRDefault="00C438A2" w:rsidP="00C438A2">
      <w:pPr>
        <w:rPr>
          <w:lang w:val="en-GB"/>
        </w:rPr>
      </w:pPr>
    </w:p>
    <w:p w14:paraId="3359DDE3" w14:textId="7BF8D672" w:rsidR="00C73498" w:rsidRDefault="00C438A2" w:rsidP="00C438A2">
      <w:pPr>
        <w:rPr>
          <w:lang w:val="en-GB"/>
        </w:rPr>
      </w:pPr>
      <w:r>
        <w:rPr>
          <w:lang w:val="en-GB"/>
        </w:rPr>
        <w:t xml:space="preserve">The contribution </w:t>
      </w:r>
      <w:r w:rsidR="00C73498">
        <w:rPr>
          <w:lang w:val="en-GB"/>
        </w:rPr>
        <w:t xml:space="preserve">from green power </w:t>
      </w:r>
      <w:r>
        <w:rPr>
          <w:lang w:val="en-GB"/>
        </w:rPr>
        <w:t>to overall energy requirement is a key design parameter to optimize the technical design and the associated business case for green power feasibility within the defined boundaries of financial metrics. In addition to the evaluation of key financial metrics including CAPEX, TCO and payback, the benefits of OPEX savings, reduction in diesel consumption and the reduction GHG emission are key parameters to support the investment decisions in green power technologies to power telecom base station sites.</w:t>
      </w:r>
      <w:r w:rsidR="00C73498">
        <w:rPr>
          <w:lang w:val="en-GB"/>
        </w:rPr>
        <w:t xml:space="preserve"> </w:t>
      </w:r>
    </w:p>
    <w:p w14:paraId="1CD8BBCB" w14:textId="77777777" w:rsidR="00C438A2" w:rsidRDefault="00C438A2" w:rsidP="00C438A2">
      <w:pPr>
        <w:rPr>
          <w:lang w:val="en-GB"/>
        </w:rPr>
      </w:pPr>
    </w:p>
    <w:p w14:paraId="1B49E099" w14:textId="77777777" w:rsidR="006A27D7" w:rsidRDefault="006A27D7" w:rsidP="00161459"/>
    <w:p w14:paraId="5C4C7FD2" w14:textId="596CE183" w:rsidR="006A27D7" w:rsidRPr="00161459" w:rsidRDefault="006A27D7" w:rsidP="00161459">
      <w:r>
        <w:rPr>
          <w:rFonts w:eastAsia="Arial Narrow" w:cs="Arial Narrow"/>
          <w:noProof/>
        </w:rPr>
        <mc:AlternateContent>
          <mc:Choice Requires="wps">
            <w:drawing>
              <wp:inline distT="0" distB="0" distL="0" distR="0" wp14:anchorId="4114544D" wp14:editId="3EFABE16">
                <wp:extent cx="5486400" cy="4953000"/>
                <wp:effectExtent l="0" t="0" r="0" b="0"/>
                <wp:docPr id="1073741840" name="officeArt object"/>
                <wp:cNvGraphicFramePr/>
                <a:graphic xmlns:a="http://schemas.openxmlformats.org/drawingml/2006/main">
                  <a:graphicData uri="http://schemas.microsoft.com/office/word/2010/wordprocessingShape">
                    <wps:wsp>
                      <wps:cNvSpPr/>
                      <wps:spPr>
                        <a:xfrm>
                          <a:off x="0" y="0"/>
                          <a:ext cx="5486400" cy="495300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599" y="0"/>
                              </a:lnTo>
                              <a:lnTo>
                                <a:pt x="21599" y="21600"/>
                              </a:lnTo>
                              <a:lnTo>
                                <a:pt x="0" y="21600"/>
                              </a:lnTo>
                              <a:close/>
                            </a:path>
                          </a:pathLst>
                        </a:custGeom>
                        <a:solidFill>
                          <a:srgbClr val="71AC7A"/>
                        </a:solidFill>
                        <a:ln>
                          <a:noFill/>
                        </a:ln>
                        <a:effectLst/>
                        <a:extLst/>
                      </wps:spPr>
                      <wps:style>
                        <a:lnRef idx="1">
                          <a:schemeClr val="accent1"/>
                        </a:lnRef>
                        <a:fillRef idx="3">
                          <a:schemeClr val="accent1"/>
                        </a:fillRef>
                        <a:effectRef idx="2">
                          <a:schemeClr val="accent1"/>
                        </a:effectRef>
                        <a:fontRef idx="minor">
                          <a:schemeClr val="tx1"/>
                        </a:fontRef>
                      </wps:style>
                      <wps:txbx>
                        <w:txbxContent>
                          <w:p w14:paraId="13B0C0F1"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eastAsia="Arial Narrow" w:cs="Arial Narrow"/>
                                <w:b/>
                                <w:bCs/>
                                <w:color w:val="FFFFFF" w:themeColor="background1"/>
                                <w:sz w:val="18"/>
                                <w:szCs w:val="18"/>
                                <w:bdr w:val="nil"/>
                              </w:rPr>
                            </w:pPr>
                            <w:r w:rsidRPr="00C75788">
                              <w:rPr>
                                <w:rFonts w:eastAsia="Arial Unicode MS" w:cs="Arial Unicode MS"/>
                                <w:b/>
                                <w:bCs/>
                                <w:color w:val="FFFFFF" w:themeColor="background1"/>
                                <w:sz w:val="18"/>
                                <w:szCs w:val="18"/>
                                <w:bdr w:val="nil"/>
                              </w:rPr>
                              <w:t>About the GSMA Association</w:t>
                            </w:r>
                          </w:p>
                          <w:p w14:paraId="7EE6A6E7" w14:textId="77777777" w:rsidR="007D3A90" w:rsidRPr="00C75788" w:rsidRDefault="007D3A90" w:rsidP="00C75788">
                            <w:pPr>
                              <w:pBdr>
                                <w:top w:val="nil"/>
                                <w:left w:val="nil"/>
                                <w:bottom w:val="nil"/>
                                <w:right w:val="nil"/>
                                <w:between w:val="nil"/>
                                <w:bar w:val="nil"/>
                              </w:pBdr>
                              <w:spacing w:line="276" w:lineRule="auto"/>
                              <w:rPr>
                                <w:rFonts w:eastAsia="Arial Narrow" w:cs="Arial Narrow"/>
                                <w:color w:val="FFFFFF" w:themeColor="background1"/>
                                <w:sz w:val="18"/>
                                <w:szCs w:val="18"/>
                                <w:bdr w:val="nil"/>
                              </w:rPr>
                            </w:pPr>
                            <w:r w:rsidRPr="00C75788">
                              <w:rPr>
                                <w:rFonts w:eastAsia="Arial Unicode MS" w:cs="Arial Unicode MS"/>
                                <w:color w:val="FFFFFF" w:themeColor="background1"/>
                                <w:sz w:val="18"/>
                                <w:szCs w:val="18"/>
                                <w:bdr w:val="nil"/>
                              </w:rPr>
                              <w:t xml:space="preserve">The GSMA represents the interests of mobile operators worldwide. Spanning more than 220 countries, the GSMA unites nearly 800 of the world’s mobile operators with 250 companies in the broader mobile ecosystem, including handset and device makers, software companies, equipment providers and Internet companies, as well as organizations in industry sectors such as financial services, healthcare, media, transport and utilities. The GSMA also produces industry-leading events such as Mobile World Congress and Mobile Asia Expo.  </w:t>
                            </w:r>
                          </w:p>
                          <w:p w14:paraId="719DE573" w14:textId="77777777" w:rsidR="007D3A90" w:rsidRPr="00C75788" w:rsidRDefault="007D3A90" w:rsidP="00C75788">
                            <w:pPr>
                              <w:pBdr>
                                <w:top w:val="nil"/>
                                <w:left w:val="nil"/>
                                <w:bottom w:val="nil"/>
                                <w:right w:val="nil"/>
                                <w:between w:val="nil"/>
                                <w:bar w:val="nil"/>
                              </w:pBdr>
                              <w:spacing w:line="276" w:lineRule="auto"/>
                              <w:rPr>
                                <w:rFonts w:eastAsia="Arial Narrow" w:cs="Arial Narrow"/>
                                <w:color w:val="FFFFFF" w:themeColor="background1"/>
                                <w:sz w:val="18"/>
                                <w:szCs w:val="18"/>
                                <w:bdr w:val="nil"/>
                              </w:rPr>
                            </w:pPr>
                            <w:r w:rsidRPr="00C75788">
                              <w:rPr>
                                <w:rFonts w:eastAsia="Arial Unicode MS" w:cs="Arial Unicode MS"/>
                                <w:color w:val="FFFFFF" w:themeColor="background1"/>
                                <w:sz w:val="18"/>
                                <w:szCs w:val="18"/>
                                <w:bdr w:val="nil"/>
                              </w:rPr>
                              <w:t> </w:t>
                            </w:r>
                          </w:p>
                          <w:p w14:paraId="51785E71" w14:textId="77777777" w:rsidR="007D3A90" w:rsidRPr="00C75788" w:rsidRDefault="007D3A90" w:rsidP="00C75788">
                            <w:pPr>
                              <w:pBdr>
                                <w:top w:val="nil"/>
                                <w:left w:val="nil"/>
                                <w:bottom w:val="nil"/>
                                <w:right w:val="nil"/>
                                <w:between w:val="nil"/>
                                <w:bar w:val="nil"/>
                              </w:pBdr>
                              <w:spacing w:line="276" w:lineRule="auto"/>
                              <w:rPr>
                                <w:rFonts w:eastAsia="Arial Narrow" w:cs="Arial Narrow"/>
                                <w:color w:val="FFFFFF" w:themeColor="background1"/>
                                <w:sz w:val="18"/>
                                <w:szCs w:val="18"/>
                                <w:bdr w:val="nil"/>
                              </w:rPr>
                            </w:pPr>
                            <w:r w:rsidRPr="00C75788">
                              <w:rPr>
                                <w:rFonts w:eastAsia="Arial Unicode MS" w:cs="Arial Unicode MS"/>
                                <w:color w:val="FFFFFF" w:themeColor="background1"/>
                                <w:sz w:val="18"/>
                                <w:szCs w:val="18"/>
                                <w:bdr w:val="nil"/>
                              </w:rPr>
                              <w:t xml:space="preserve">For more information, please visit the GSMA corporate website at </w:t>
                            </w:r>
                            <w:hyperlink r:id="rId28" w:history="1">
                              <w:r w:rsidRPr="00C75788">
                                <w:rPr>
                                  <w:rFonts w:eastAsia="Arial Unicode MS" w:cs="Arial Unicode MS"/>
                                  <w:color w:val="FFFFFF" w:themeColor="background1"/>
                                  <w:sz w:val="18"/>
                                  <w:szCs w:val="18"/>
                                  <w:u w:val="single"/>
                                  <w:bdr w:val="nil"/>
                                </w:rPr>
                                <w:t>www.gsma.com</w:t>
                              </w:r>
                            </w:hyperlink>
                            <w:r w:rsidRPr="00C75788">
                              <w:rPr>
                                <w:rFonts w:eastAsia="Arial Unicode MS" w:cs="Arial Unicode MS"/>
                                <w:color w:val="FFFFFF" w:themeColor="background1"/>
                                <w:sz w:val="18"/>
                                <w:szCs w:val="18"/>
                                <w:bdr w:val="nil"/>
                              </w:rPr>
                              <w:t>. Follow the GSMA on Twitter: @GSMA.</w:t>
                            </w:r>
                          </w:p>
                          <w:p w14:paraId="11CC0406" w14:textId="77777777" w:rsidR="007D3A90" w:rsidRPr="00C75788" w:rsidRDefault="007D3A90" w:rsidP="00C75788">
                            <w:pPr>
                              <w:pBdr>
                                <w:top w:val="nil"/>
                                <w:left w:val="nil"/>
                                <w:bottom w:val="nil"/>
                                <w:right w:val="nil"/>
                                <w:between w:val="nil"/>
                                <w:bar w:val="nil"/>
                              </w:pBdr>
                              <w:spacing w:line="276" w:lineRule="auto"/>
                              <w:ind w:firstLine="720"/>
                              <w:rPr>
                                <w:rFonts w:eastAsia="Arial Narrow" w:cs="Arial Narrow"/>
                                <w:color w:val="FFFFFF" w:themeColor="background1"/>
                                <w:sz w:val="18"/>
                                <w:szCs w:val="18"/>
                                <w:bdr w:val="nil"/>
                              </w:rPr>
                            </w:pPr>
                          </w:p>
                          <w:p w14:paraId="5AC30E07"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eastAsia="Arial Narrow" w:cs="Arial Narrow"/>
                                <w:b/>
                                <w:bCs/>
                                <w:color w:val="FFFFFF" w:themeColor="background1"/>
                                <w:sz w:val="18"/>
                                <w:szCs w:val="18"/>
                                <w:bdr w:val="nil"/>
                              </w:rPr>
                            </w:pPr>
                            <w:r w:rsidRPr="00C75788">
                              <w:rPr>
                                <w:rFonts w:eastAsia="Arial Unicode MS" w:cs="Arial Unicode MS"/>
                                <w:b/>
                                <w:bCs/>
                                <w:color w:val="FFFFFF" w:themeColor="background1"/>
                                <w:sz w:val="18"/>
                                <w:szCs w:val="18"/>
                                <w:bdr w:val="nil"/>
                              </w:rPr>
                              <w:t>About Mobile for Development - Serving the underserved through mobile</w:t>
                            </w:r>
                          </w:p>
                          <w:p w14:paraId="07FE170F"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eastAsia="Arial Unicode MS" w:cs="Arial Unicode MS"/>
                                <w:color w:val="FFFFFF" w:themeColor="background1"/>
                                <w:sz w:val="18"/>
                                <w:szCs w:val="18"/>
                                <w:bdr w:val="nil"/>
                              </w:rPr>
                            </w:pPr>
                            <w:r w:rsidRPr="00C75788">
                              <w:rPr>
                                <w:rFonts w:eastAsia="Arial Unicode MS" w:cs="Arial Unicode MS"/>
                                <w:color w:val="FFFFFF" w:themeColor="background1"/>
                                <w:sz w:val="18"/>
                                <w:szCs w:val="18"/>
                                <w:bdr w:val="nil"/>
                              </w:rPr>
                              <w:t>Mobile for Development brings together our mobile operator members, the wider mobile industry and the development community to drive commercial mobile services for underserved people in emerging markets. We identify opportunities for social and economic impact and stimulate the development of scalable, life-enhancing mobile services.</w:t>
                            </w:r>
                          </w:p>
                          <w:p w14:paraId="39C75F3C"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eastAsia="Arial Unicode MS" w:cs="Arial Unicode MS"/>
                                <w:color w:val="FFFFFF" w:themeColor="background1"/>
                                <w:sz w:val="18"/>
                                <w:szCs w:val="18"/>
                                <w:bdr w:val="nil"/>
                              </w:rPr>
                            </w:pPr>
                          </w:p>
                          <w:p w14:paraId="309D50E6"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ascii="Arial" w:eastAsia="Arial Unicode MS" w:hAnsi="Arial Unicode MS" w:cs="Arial"/>
                                <w:color w:val="FFFFFF" w:themeColor="background1"/>
                                <w:sz w:val="18"/>
                                <w:szCs w:val="18"/>
                                <w:bdr w:val="nil"/>
                              </w:rPr>
                            </w:pPr>
                            <w:r w:rsidRPr="00C75788">
                              <w:rPr>
                                <w:rFonts w:eastAsia="Arial Narrow" w:cs="Arial Narrow"/>
                                <w:color w:val="FFFFFF" w:themeColor="background1"/>
                                <w:sz w:val="18"/>
                                <w:szCs w:val="18"/>
                                <w:bdr w:val="nil"/>
                              </w:rPr>
                              <w:t xml:space="preserve">For more information, please visit the Mobile for Development website at </w:t>
                            </w:r>
                            <w:hyperlink r:id="rId29" w:history="1">
                              <w:r w:rsidRPr="00C75788">
                                <w:rPr>
                                  <w:rFonts w:eastAsia="Arial Narrow" w:cs="Arial Narrow"/>
                                  <w:color w:val="FFFFFF" w:themeColor="background1"/>
                                  <w:sz w:val="18"/>
                                  <w:szCs w:val="18"/>
                                  <w:u w:val="single"/>
                                  <w:bdr w:val="nil"/>
                                </w:rPr>
                                <w:t>http://www.gsma.com/mobilefordevelopment/</w:t>
                              </w:r>
                            </w:hyperlink>
                            <w:r w:rsidRPr="00C75788">
                              <w:rPr>
                                <w:rFonts w:eastAsia="Arial Narrow" w:cs="Arial Narrow"/>
                                <w:color w:val="FFFFFF" w:themeColor="background1"/>
                                <w:sz w:val="18"/>
                                <w:szCs w:val="18"/>
                                <w:bdr w:val="nil"/>
                              </w:rPr>
                              <w:t xml:space="preserve">. </w:t>
                            </w:r>
                            <w:r w:rsidRPr="00C75788">
                              <w:rPr>
                                <w:rFonts w:eastAsia="Arial Unicode MS" w:cs="Arial"/>
                                <w:color w:val="FFFFFF" w:themeColor="background1"/>
                                <w:sz w:val="18"/>
                                <w:szCs w:val="18"/>
                                <w:bdr w:val="nil"/>
                              </w:rPr>
                              <w:t>Connect with us on Twitter @GSMAM4D</w:t>
                            </w:r>
                          </w:p>
                          <w:p w14:paraId="1E3541B4" w14:textId="77777777" w:rsidR="007D3A90" w:rsidRPr="00C75788" w:rsidRDefault="007D3A90" w:rsidP="00C75788">
                            <w:pPr>
                              <w:spacing w:before="240" w:after="120" w:line="276" w:lineRule="auto"/>
                              <w:jc w:val="left"/>
                              <w:rPr>
                                <w:rFonts w:cs="Arial"/>
                                <w:color w:val="FFFFFF" w:themeColor="background1"/>
                                <w:sz w:val="18"/>
                                <w:szCs w:val="18"/>
                              </w:rPr>
                            </w:pPr>
                            <w:r w:rsidRPr="00C75788">
                              <w:rPr>
                                <w:b/>
                                <w:bCs/>
                                <w:color w:val="FFFFFF" w:themeColor="background1"/>
                                <w:sz w:val="18"/>
                                <w:szCs w:val="18"/>
                              </w:rPr>
                              <w:t>About the GSMA Green Power for Mobile Programme</w:t>
                            </w:r>
                            <w:r w:rsidRPr="00C75788">
                              <w:rPr>
                                <w:b/>
                                <w:bCs/>
                                <w:color w:val="FFFFFF" w:themeColor="background1"/>
                                <w:sz w:val="18"/>
                                <w:szCs w:val="18"/>
                              </w:rPr>
                              <w:br/>
                            </w:r>
                            <w:r w:rsidRPr="00C75788">
                              <w:rPr>
                                <w:rFonts w:cs="Arial"/>
                                <w:color w:val="FFFFFF" w:themeColor="background1"/>
                                <w:sz w:val="18"/>
                                <w:szCs w:val="18"/>
                              </w:rPr>
                              <w:t>Green Power for Mobile works to extend the coverage, reduce the cost and minimize the environmental impact of mobile networks by championing renewable energy.</w:t>
                            </w:r>
                          </w:p>
                          <w:p w14:paraId="7C264811" w14:textId="77777777" w:rsidR="007D3A90" w:rsidRPr="00C75788" w:rsidRDefault="007D3A90" w:rsidP="00C75788">
                            <w:pPr>
                              <w:widowControl w:val="0"/>
                              <w:autoSpaceDE w:val="0"/>
                              <w:autoSpaceDN w:val="0"/>
                              <w:adjustRightInd w:val="0"/>
                              <w:spacing w:before="240" w:after="120" w:line="276" w:lineRule="auto"/>
                              <w:rPr>
                                <w:rFonts w:cs="Arial"/>
                                <w:color w:val="FFFFFF" w:themeColor="background1"/>
                                <w:sz w:val="18"/>
                                <w:szCs w:val="18"/>
                              </w:rPr>
                            </w:pPr>
                            <w:r w:rsidRPr="00C75788">
                              <w:rPr>
                                <w:rFonts w:cs="Arial"/>
                                <w:color w:val="FFFFFF" w:themeColor="background1"/>
                                <w:sz w:val="18"/>
                                <w:szCs w:val="18"/>
                              </w:rPr>
                              <w:t>Whilst it continues to serve mobile network operators globally, the programme will place key focus on a number of target markets in Africa and Asia including Indonesia, Bangladesh, Pakistan, Afghanistan, Nigeria, Ghana, Kenya, Tanzania, Uganda, Senegal and Cameroon. With Project Managers based in each of these regions, GPM is well positioned to engage with the industry and address the requirements of these markets.</w:t>
                            </w:r>
                          </w:p>
                          <w:p w14:paraId="63A79E6C" w14:textId="77777777" w:rsidR="007D3A90" w:rsidRPr="00C75788" w:rsidRDefault="007D3A90" w:rsidP="00C75788">
                            <w:pPr>
                              <w:widowControl w:val="0"/>
                              <w:autoSpaceDE w:val="0"/>
                              <w:autoSpaceDN w:val="0"/>
                              <w:adjustRightInd w:val="0"/>
                              <w:spacing w:before="240" w:after="120" w:line="276" w:lineRule="auto"/>
                              <w:rPr>
                                <w:rFonts w:cs="Arial"/>
                                <w:color w:val="FFFFFF" w:themeColor="background1"/>
                                <w:sz w:val="18"/>
                                <w:szCs w:val="18"/>
                              </w:rPr>
                            </w:pPr>
                            <w:r w:rsidRPr="00C75788">
                              <w:rPr>
                                <w:rFonts w:cs="Arial"/>
                                <w:color w:val="FFFFFF" w:themeColor="background1"/>
                                <w:sz w:val="18"/>
                                <w:szCs w:val="18"/>
                              </w:rPr>
                              <w:t xml:space="preserve">For more information on the GSMA's Green Power for Mobile Programme, please contact us on </w:t>
                            </w:r>
                            <w:hyperlink r:id="rId30" w:history="1">
                              <w:r w:rsidRPr="00C75788">
                                <w:rPr>
                                  <w:rFonts w:cs="Arial"/>
                                  <w:color w:val="FFFFFF" w:themeColor="background1"/>
                                  <w:sz w:val="18"/>
                                  <w:szCs w:val="18"/>
                                  <w:u w:val="single"/>
                                </w:rPr>
                                <w:t>greenpower@gsma.com</w:t>
                              </w:r>
                            </w:hyperlink>
                          </w:p>
                          <w:p w14:paraId="503205A3" w14:textId="307584CE" w:rsidR="007D3A90" w:rsidRDefault="008B55D5" w:rsidP="00C75788">
                            <w:pPr>
                              <w:pStyle w:val="FreeForm"/>
                              <w:spacing w:line="312" w:lineRule="auto"/>
                              <w:jc w:val="both"/>
                              <w:rPr>
                                <w:rFonts w:ascii="Arial Narrow" w:eastAsia="Arial Narrow" w:hAnsi="Arial Narrow" w:cs="Arial Narrow"/>
                                <w:color w:val="FFFFFF"/>
                                <w:sz w:val="18"/>
                                <w:szCs w:val="18"/>
                              </w:rPr>
                            </w:pPr>
                            <w:hyperlink r:id="rId31" w:history="1">
                              <w:r w:rsidR="007D3A90" w:rsidRPr="00C75788">
                                <w:rPr>
                                  <w:rFonts w:ascii="Arial Narrow" w:eastAsiaTheme="minorEastAsia" w:hAnsi="Arial Narrow" w:cs="Arial"/>
                                  <w:color w:val="FFFFFF" w:themeColor="background1"/>
                                  <w:sz w:val="18"/>
                                  <w:szCs w:val="18"/>
                                  <w:u w:val="single"/>
                                  <w:bdr w:val="none" w:sz="0" w:space="0" w:color="auto"/>
                                </w:rPr>
                                <w:t>http://www.gsma.com/mobilefordevelopment/programmes/green-power-for-mobile</w:t>
                              </w:r>
                            </w:hyperlink>
                            <w:r w:rsidR="007D3A90">
                              <w:rPr>
                                <w:rFonts w:hAnsi="Arial Narrow"/>
                                <w:color w:val="FFFFFF"/>
                                <w:sz w:val="18"/>
                                <w:szCs w:val="18"/>
                              </w:rPr>
                              <w:t> </w:t>
                            </w:r>
                          </w:p>
                          <w:p w14:paraId="23847B72" w14:textId="498A3936" w:rsidR="007D3A90" w:rsidRDefault="007D3A90" w:rsidP="006A27D7">
                            <w:pPr>
                              <w:pStyle w:val="FreeForm"/>
                              <w:spacing w:line="312" w:lineRule="auto"/>
                              <w:jc w:val="both"/>
                            </w:pPr>
                          </w:p>
                        </w:txbxContent>
                      </wps:txbx>
                      <wps:bodyPr rot="0" spcFirstLastPara="1" vertOverflow="overflow" horzOverflow="overflow" vert="horz" wrap="square" lIns="215900" tIns="215900" rIns="215900" bIns="215900" numCol="1" spcCol="38100" rtlCol="0" anchor="t">
                        <a:prstTxWarp prst="textNoShape">
                          <a:avLst/>
                        </a:prstTxWarp>
                        <a:noAutofit/>
                      </wps:bodyPr>
                    </wps:wsp>
                  </a:graphicData>
                </a:graphic>
              </wp:inline>
            </w:drawing>
          </mc:Choice>
          <mc:Fallback>
            <w:pict>
              <v:shape id="officeArt object" o:spid="_x0000_s1027" style="width:6in;height:390pt;visibility:visible;mso-wrap-style:square;mso-left-percent:-10001;mso-top-percent:-10001;mso-position-horizontal:absolute;mso-position-horizontal-relative:char;mso-position-vertical:absolute;mso-position-vertical-relative:line;mso-left-percent:-10001;mso-top-percent:-10001;v-text-anchor:top" coordsize="21600,216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" adj="-11796480,,5400" path="m0,0l21599,,21599,21600,,21600,,0xe" fillcolor="#71ac7a" stroked="f">
                <v:stroke joinstyle="miter"/>
                <v:formulas/>
                <v:path arrowok="t" o:extrusionok="f" o:connecttype="custom" o:connectlocs="2743200,2476500;2743200,2476500;2743200,2476500;2743200,2476500" o:connectangles="0,90,180,270" textboxrect="0,0,21600,21600"/>
                <v:textbox inset="17pt,17pt,17pt,17pt">
                  <w:txbxContent>
                    <w:p w14:paraId="13B0C0F1"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eastAsia="Arial Narrow" w:cs="Arial Narrow"/>
                          <w:b/>
                          <w:bCs/>
                          <w:color w:val="FFFFFF" w:themeColor="background1"/>
                          <w:sz w:val="18"/>
                          <w:szCs w:val="18"/>
                          <w:bdr w:val="nil"/>
                        </w:rPr>
                      </w:pPr>
                      <w:r w:rsidRPr="00C75788">
                        <w:rPr>
                          <w:rFonts w:eastAsia="Arial Unicode MS" w:cs="Arial Unicode MS"/>
                          <w:b/>
                          <w:bCs/>
                          <w:color w:val="FFFFFF" w:themeColor="background1"/>
                          <w:sz w:val="18"/>
                          <w:szCs w:val="18"/>
                          <w:bdr w:val="nil"/>
                        </w:rPr>
                        <w:t>About the GSMA Association</w:t>
                      </w:r>
                    </w:p>
                    <w:p w14:paraId="7EE6A6E7" w14:textId="77777777" w:rsidR="007D3A90" w:rsidRPr="00C75788" w:rsidRDefault="007D3A90" w:rsidP="00C75788">
                      <w:pPr>
                        <w:pBdr>
                          <w:top w:val="nil"/>
                          <w:left w:val="nil"/>
                          <w:bottom w:val="nil"/>
                          <w:right w:val="nil"/>
                          <w:between w:val="nil"/>
                          <w:bar w:val="nil"/>
                        </w:pBdr>
                        <w:spacing w:line="276" w:lineRule="auto"/>
                        <w:rPr>
                          <w:rFonts w:eastAsia="Arial Narrow" w:cs="Arial Narrow"/>
                          <w:color w:val="FFFFFF" w:themeColor="background1"/>
                          <w:sz w:val="18"/>
                          <w:szCs w:val="18"/>
                          <w:bdr w:val="nil"/>
                        </w:rPr>
                      </w:pPr>
                      <w:r w:rsidRPr="00C75788">
                        <w:rPr>
                          <w:rFonts w:eastAsia="Arial Unicode MS" w:cs="Arial Unicode MS"/>
                          <w:color w:val="FFFFFF" w:themeColor="background1"/>
                          <w:sz w:val="18"/>
                          <w:szCs w:val="18"/>
                          <w:bdr w:val="nil"/>
                        </w:rPr>
                        <w:t xml:space="preserve">The GSMA represents the interests of mobile operators worldwide. Spanning more than 220 countries, the GSMA unites nearly 800 of the world’s mobile operators with 250 companies in the broader mobile ecosystem, including handset and device makers, software companies, equipment providers and Internet companies, as well as organizations in industry sectors such as financial services, healthcare, media, transport and utilities. The GSMA also produces industry-leading events such as Mobile World Congress and Mobile Asia Expo.  </w:t>
                      </w:r>
                    </w:p>
                    <w:p w14:paraId="719DE573" w14:textId="77777777" w:rsidR="007D3A90" w:rsidRPr="00C75788" w:rsidRDefault="007D3A90" w:rsidP="00C75788">
                      <w:pPr>
                        <w:pBdr>
                          <w:top w:val="nil"/>
                          <w:left w:val="nil"/>
                          <w:bottom w:val="nil"/>
                          <w:right w:val="nil"/>
                          <w:between w:val="nil"/>
                          <w:bar w:val="nil"/>
                        </w:pBdr>
                        <w:spacing w:line="276" w:lineRule="auto"/>
                        <w:rPr>
                          <w:rFonts w:eastAsia="Arial Narrow" w:cs="Arial Narrow"/>
                          <w:color w:val="FFFFFF" w:themeColor="background1"/>
                          <w:sz w:val="18"/>
                          <w:szCs w:val="18"/>
                          <w:bdr w:val="nil"/>
                        </w:rPr>
                      </w:pPr>
                      <w:r w:rsidRPr="00C75788">
                        <w:rPr>
                          <w:rFonts w:eastAsia="Arial Unicode MS" w:cs="Arial Unicode MS"/>
                          <w:color w:val="FFFFFF" w:themeColor="background1"/>
                          <w:sz w:val="18"/>
                          <w:szCs w:val="18"/>
                          <w:bdr w:val="nil"/>
                        </w:rPr>
                        <w:t> </w:t>
                      </w:r>
                    </w:p>
                    <w:p w14:paraId="51785E71" w14:textId="77777777" w:rsidR="007D3A90" w:rsidRPr="00C75788" w:rsidRDefault="007D3A90" w:rsidP="00C75788">
                      <w:pPr>
                        <w:pBdr>
                          <w:top w:val="nil"/>
                          <w:left w:val="nil"/>
                          <w:bottom w:val="nil"/>
                          <w:right w:val="nil"/>
                          <w:between w:val="nil"/>
                          <w:bar w:val="nil"/>
                        </w:pBdr>
                        <w:spacing w:line="276" w:lineRule="auto"/>
                        <w:rPr>
                          <w:rFonts w:eastAsia="Arial Narrow" w:cs="Arial Narrow"/>
                          <w:color w:val="FFFFFF" w:themeColor="background1"/>
                          <w:sz w:val="18"/>
                          <w:szCs w:val="18"/>
                          <w:bdr w:val="nil"/>
                        </w:rPr>
                      </w:pPr>
                      <w:r w:rsidRPr="00C75788">
                        <w:rPr>
                          <w:rFonts w:eastAsia="Arial Unicode MS" w:cs="Arial Unicode MS"/>
                          <w:color w:val="FFFFFF" w:themeColor="background1"/>
                          <w:sz w:val="18"/>
                          <w:szCs w:val="18"/>
                          <w:bdr w:val="nil"/>
                        </w:rPr>
                        <w:t xml:space="preserve">For more information, please visit the GSMA corporate website at </w:t>
                      </w:r>
                      <w:hyperlink r:id="rId32" w:history="1">
                        <w:r w:rsidRPr="00C75788">
                          <w:rPr>
                            <w:rFonts w:eastAsia="Arial Unicode MS" w:cs="Arial Unicode MS"/>
                            <w:color w:val="FFFFFF" w:themeColor="background1"/>
                            <w:sz w:val="18"/>
                            <w:szCs w:val="18"/>
                            <w:u w:val="single"/>
                            <w:bdr w:val="nil"/>
                          </w:rPr>
                          <w:t>www.gsma.com</w:t>
                        </w:r>
                      </w:hyperlink>
                      <w:r w:rsidRPr="00C75788">
                        <w:rPr>
                          <w:rFonts w:eastAsia="Arial Unicode MS" w:cs="Arial Unicode MS"/>
                          <w:color w:val="FFFFFF" w:themeColor="background1"/>
                          <w:sz w:val="18"/>
                          <w:szCs w:val="18"/>
                          <w:bdr w:val="nil"/>
                        </w:rPr>
                        <w:t>. Follow the GSMA on Twitter: @GSMA.</w:t>
                      </w:r>
                    </w:p>
                    <w:p w14:paraId="11CC0406" w14:textId="77777777" w:rsidR="007D3A90" w:rsidRPr="00C75788" w:rsidRDefault="007D3A90" w:rsidP="00C75788">
                      <w:pPr>
                        <w:pBdr>
                          <w:top w:val="nil"/>
                          <w:left w:val="nil"/>
                          <w:bottom w:val="nil"/>
                          <w:right w:val="nil"/>
                          <w:between w:val="nil"/>
                          <w:bar w:val="nil"/>
                        </w:pBdr>
                        <w:spacing w:line="276" w:lineRule="auto"/>
                        <w:ind w:firstLine="720"/>
                        <w:rPr>
                          <w:rFonts w:eastAsia="Arial Narrow" w:cs="Arial Narrow"/>
                          <w:color w:val="FFFFFF" w:themeColor="background1"/>
                          <w:sz w:val="18"/>
                          <w:szCs w:val="18"/>
                          <w:bdr w:val="nil"/>
                        </w:rPr>
                      </w:pPr>
                    </w:p>
                    <w:p w14:paraId="5AC30E07"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eastAsia="Arial Narrow" w:cs="Arial Narrow"/>
                          <w:b/>
                          <w:bCs/>
                          <w:color w:val="FFFFFF" w:themeColor="background1"/>
                          <w:sz w:val="18"/>
                          <w:szCs w:val="18"/>
                          <w:bdr w:val="nil"/>
                        </w:rPr>
                      </w:pPr>
                      <w:r w:rsidRPr="00C75788">
                        <w:rPr>
                          <w:rFonts w:eastAsia="Arial Unicode MS" w:cs="Arial Unicode MS"/>
                          <w:b/>
                          <w:bCs/>
                          <w:color w:val="FFFFFF" w:themeColor="background1"/>
                          <w:sz w:val="18"/>
                          <w:szCs w:val="18"/>
                          <w:bdr w:val="nil"/>
                        </w:rPr>
                        <w:t>About Mobile for Development - Serving the underserved through mobile</w:t>
                      </w:r>
                    </w:p>
                    <w:p w14:paraId="07FE170F"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eastAsia="Arial Unicode MS" w:cs="Arial Unicode MS"/>
                          <w:color w:val="FFFFFF" w:themeColor="background1"/>
                          <w:sz w:val="18"/>
                          <w:szCs w:val="18"/>
                          <w:bdr w:val="nil"/>
                        </w:rPr>
                      </w:pPr>
                      <w:r w:rsidRPr="00C75788">
                        <w:rPr>
                          <w:rFonts w:eastAsia="Arial Unicode MS" w:cs="Arial Unicode MS"/>
                          <w:color w:val="FFFFFF" w:themeColor="background1"/>
                          <w:sz w:val="18"/>
                          <w:szCs w:val="18"/>
                          <w:bdr w:val="nil"/>
                        </w:rPr>
                        <w:t>Mobile for Development brings together our mobile operator members, the wider mobile industry and the development community to drive commercial mobile services for underserved people in emerging markets. We identify opportunities for social and economic impact and stimulate the development of scalable, life-enhancing mobile services.</w:t>
                      </w:r>
                    </w:p>
                    <w:p w14:paraId="39C75F3C"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eastAsia="Arial Unicode MS" w:cs="Arial Unicode MS"/>
                          <w:color w:val="FFFFFF" w:themeColor="background1"/>
                          <w:sz w:val="18"/>
                          <w:szCs w:val="18"/>
                          <w:bdr w:val="nil"/>
                        </w:rPr>
                      </w:pPr>
                    </w:p>
                    <w:p w14:paraId="309D50E6" w14:textId="77777777" w:rsidR="007D3A90" w:rsidRPr="00C75788" w:rsidRDefault="007D3A90" w:rsidP="00C75788">
                      <w:pPr>
                        <w:widowControl w:val="0"/>
                        <w:pBdr>
                          <w:top w:val="nil"/>
                          <w:left w:val="nil"/>
                          <w:bottom w:val="nil"/>
                          <w:right w:val="nil"/>
                          <w:between w:val="nil"/>
                          <w:bar w:val="nil"/>
                        </w:pBdr>
                        <w:suppressAutoHyphens/>
                        <w:spacing w:line="276" w:lineRule="auto"/>
                        <w:rPr>
                          <w:rFonts w:ascii="Arial" w:eastAsia="Arial Unicode MS" w:hAnsi="Arial Unicode MS" w:cs="Arial"/>
                          <w:color w:val="FFFFFF" w:themeColor="background1"/>
                          <w:sz w:val="18"/>
                          <w:szCs w:val="18"/>
                          <w:bdr w:val="nil"/>
                        </w:rPr>
                      </w:pPr>
                      <w:r w:rsidRPr="00C75788">
                        <w:rPr>
                          <w:rFonts w:eastAsia="Arial Narrow" w:cs="Arial Narrow"/>
                          <w:color w:val="FFFFFF" w:themeColor="background1"/>
                          <w:sz w:val="18"/>
                          <w:szCs w:val="18"/>
                          <w:bdr w:val="nil"/>
                        </w:rPr>
                        <w:t xml:space="preserve">For more information, please visit the Mobile for Development website at </w:t>
                      </w:r>
                      <w:hyperlink r:id="rId33" w:history="1">
                        <w:r w:rsidRPr="00C75788">
                          <w:rPr>
                            <w:rFonts w:eastAsia="Arial Narrow" w:cs="Arial Narrow"/>
                            <w:color w:val="FFFFFF" w:themeColor="background1"/>
                            <w:sz w:val="18"/>
                            <w:szCs w:val="18"/>
                            <w:u w:val="single"/>
                            <w:bdr w:val="nil"/>
                          </w:rPr>
                          <w:t>http://www.gsma.com/mobilefordevelopment/</w:t>
                        </w:r>
                      </w:hyperlink>
                      <w:r w:rsidRPr="00C75788">
                        <w:rPr>
                          <w:rFonts w:eastAsia="Arial Narrow" w:cs="Arial Narrow"/>
                          <w:color w:val="FFFFFF" w:themeColor="background1"/>
                          <w:sz w:val="18"/>
                          <w:szCs w:val="18"/>
                          <w:bdr w:val="nil"/>
                        </w:rPr>
                        <w:t xml:space="preserve">. </w:t>
                      </w:r>
                      <w:r w:rsidRPr="00C75788">
                        <w:rPr>
                          <w:rFonts w:eastAsia="Arial Unicode MS" w:cs="Arial"/>
                          <w:color w:val="FFFFFF" w:themeColor="background1"/>
                          <w:sz w:val="18"/>
                          <w:szCs w:val="18"/>
                          <w:bdr w:val="nil"/>
                        </w:rPr>
                        <w:t>Connect with us on Twitter @GSMAM4D</w:t>
                      </w:r>
                    </w:p>
                    <w:p w14:paraId="1E3541B4" w14:textId="77777777" w:rsidR="007D3A90" w:rsidRPr="00C75788" w:rsidRDefault="007D3A90" w:rsidP="00C75788">
                      <w:pPr>
                        <w:spacing w:before="240" w:after="120" w:line="276" w:lineRule="auto"/>
                        <w:jc w:val="left"/>
                        <w:rPr>
                          <w:rFonts w:cs="Arial"/>
                          <w:color w:val="FFFFFF" w:themeColor="background1"/>
                          <w:sz w:val="18"/>
                          <w:szCs w:val="18"/>
                        </w:rPr>
                      </w:pPr>
                      <w:r w:rsidRPr="00C75788">
                        <w:rPr>
                          <w:b/>
                          <w:bCs/>
                          <w:color w:val="FFFFFF" w:themeColor="background1"/>
                          <w:sz w:val="18"/>
                          <w:szCs w:val="18"/>
                        </w:rPr>
                        <w:t>About the GSMA Green Power for Mobile Programme</w:t>
                      </w:r>
                      <w:r w:rsidRPr="00C75788">
                        <w:rPr>
                          <w:b/>
                          <w:bCs/>
                          <w:color w:val="FFFFFF" w:themeColor="background1"/>
                          <w:sz w:val="18"/>
                          <w:szCs w:val="18"/>
                        </w:rPr>
                        <w:br/>
                      </w:r>
                      <w:r w:rsidRPr="00C75788">
                        <w:rPr>
                          <w:rFonts w:cs="Arial"/>
                          <w:color w:val="FFFFFF" w:themeColor="background1"/>
                          <w:sz w:val="18"/>
                          <w:szCs w:val="18"/>
                        </w:rPr>
                        <w:t>Green Power for Mobile works to extend the coverage, reduce the cost and minimize the environmental impact of mobile networks by championing renewable energy.</w:t>
                      </w:r>
                    </w:p>
                    <w:p w14:paraId="7C264811" w14:textId="77777777" w:rsidR="007D3A90" w:rsidRPr="00C75788" w:rsidRDefault="007D3A90" w:rsidP="00C75788">
                      <w:pPr>
                        <w:widowControl w:val="0"/>
                        <w:autoSpaceDE w:val="0"/>
                        <w:autoSpaceDN w:val="0"/>
                        <w:adjustRightInd w:val="0"/>
                        <w:spacing w:before="240" w:after="120" w:line="276" w:lineRule="auto"/>
                        <w:rPr>
                          <w:rFonts w:cs="Arial"/>
                          <w:color w:val="FFFFFF" w:themeColor="background1"/>
                          <w:sz w:val="18"/>
                          <w:szCs w:val="18"/>
                        </w:rPr>
                      </w:pPr>
                      <w:r w:rsidRPr="00C75788">
                        <w:rPr>
                          <w:rFonts w:cs="Arial"/>
                          <w:color w:val="FFFFFF" w:themeColor="background1"/>
                          <w:sz w:val="18"/>
                          <w:szCs w:val="18"/>
                        </w:rPr>
                        <w:t>Whilst it continues to serve mobile network operators globally, the programme will place key focus on a number of target markets in Africa and Asia including Indonesia, Bangladesh, Pakistan, Afghanistan, Nigeria, Ghana, Kenya, Tanzania, Uganda, Senegal and Cameroon. With Project Managers based in each of these regions, GPM is well positioned to engage with the industry and address the requirements of these markets.</w:t>
                      </w:r>
                    </w:p>
                    <w:p w14:paraId="63A79E6C" w14:textId="77777777" w:rsidR="007D3A90" w:rsidRPr="00C75788" w:rsidRDefault="007D3A90" w:rsidP="00C75788">
                      <w:pPr>
                        <w:widowControl w:val="0"/>
                        <w:autoSpaceDE w:val="0"/>
                        <w:autoSpaceDN w:val="0"/>
                        <w:adjustRightInd w:val="0"/>
                        <w:spacing w:before="240" w:after="120" w:line="276" w:lineRule="auto"/>
                        <w:rPr>
                          <w:rFonts w:cs="Arial"/>
                          <w:color w:val="FFFFFF" w:themeColor="background1"/>
                          <w:sz w:val="18"/>
                          <w:szCs w:val="18"/>
                        </w:rPr>
                      </w:pPr>
                      <w:r w:rsidRPr="00C75788">
                        <w:rPr>
                          <w:rFonts w:cs="Arial"/>
                          <w:color w:val="FFFFFF" w:themeColor="background1"/>
                          <w:sz w:val="18"/>
                          <w:szCs w:val="18"/>
                        </w:rPr>
                        <w:t xml:space="preserve">For more information on the GSMA's Green Power for Mobile Programme, please contact us on </w:t>
                      </w:r>
                      <w:hyperlink r:id="rId34" w:history="1">
                        <w:r w:rsidRPr="00C75788">
                          <w:rPr>
                            <w:rFonts w:cs="Arial"/>
                            <w:color w:val="FFFFFF" w:themeColor="background1"/>
                            <w:sz w:val="18"/>
                            <w:szCs w:val="18"/>
                            <w:u w:val="single"/>
                          </w:rPr>
                          <w:t>greenpower@gsma.com</w:t>
                        </w:r>
                      </w:hyperlink>
                    </w:p>
                    <w:p w14:paraId="503205A3" w14:textId="307584CE" w:rsidR="007D3A90" w:rsidRDefault="008B55D5" w:rsidP="00C75788">
                      <w:pPr>
                        <w:pStyle w:val="FreeForm"/>
                        <w:spacing w:line="312" w:lineRule="auto"/>
                        <w:jc w:val="both"/>
                        <w:rPr>
                          <w:rFonts w:ascii="Arial Narrow" w:eastAsia="Arial Narrow" w:hAnsi="Arial Narrow" w:cs="Arial Narrow"/>
                          <w:color w:val="FFFFFF"/>
                          <w:sz w:val="18"/>
                          <w:szCs w:val="18"/>
                        </w:rPr>
                      </w:pPr>
                      <w:hyperlink r:id="rId35" w:history="1">
                        <w:r w:rsidR="007D3A90" w:rsidRPr="00C75788">
                          <w:rPr>
                            <w:rFonts w:ascii="Arial Narrow" w:eastAsiaTheme="minorEastAsia" w:hAnsi="Arial Narrow" w:cs="Arial"/>
                            <w:color w:val="FFFFFF" w:themeColor="background1"/>
                            <w:sz w:val="18"/>
                            <w:szCs w:val="18"/>
                            <w:u w:val="single"/>
                            <w:bdr w:val="none" w:sz="0" w:space="0" w:color="auto"/>
                          </w:rPr>
                          <w:t>http://www.gsma.com/mobilefordevelopment/programmes/green-power-for-mobile</w:t>
                        </w:r>
                      </w:hyperlink>
                      <w:r w:rsidR="007D3A90">
                        <w:rPr>
                          <w:rFonts w:hAnsi="Arial Narrow"/>
                          <w:color w:val="FFFFFF"/>
                          <w:sz w:val="18"/>
                          <w:szCs w:val="18"/>
                        </w:rPr>
                        <w:t> </w:t>
                      </w:r>
                    </w:p>
                    <w:p w14:paraId="23847B72" w14:textId="498A3936" w:rsidR="007D3A90" w:rsidRDefault="007D3A90" w:rsidP="006A27D7">
                      <w:pPr>
                        <w:pStyle w:val="FreeForm"/>
                        <w:spacing w:line="312" w:lineRule="auto"/>
                        <w:jc w:val="both"/>
                      </w:pPr>
                    </w:p>
                  </w:txbxContent>
                </v:textbox>
                <w10:anchorlock/>
              </v:shape>
            </w:pict>
          </mc:Fallback>
        </mc:AlternateContent>
      </w:r>
    </w:p>
    <w:sectPr w:rsidR="006A27D7" w:rsidRPr="00161459" w:rsidSect="00E62B62">
      <w:headerReference w:type="default" r:id="rId36"/>
      <w:footerReference w:type="default" r:id="rId37"/>
      <w:headerReference w:type="first" r:id="rId38"/>
      <w:pgSz w:w="12240" w:h="15840"/>
      <w:pgMar w:top="1440" w:right="1800" w:bottom="0" w:left="1800" w:header="17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488D41" w14:textId="77777777" w:rsidR="008B55D5" w:rsidRDefault="008B55D5" w:rsidP="00161459">
      <w:pPr>
        <w:spacing w:line="240" w:lineRule="auto"/>
      </w:pPr>
      <w:r>
        <w:separator/>
      </w:r>
    </w:p>
  </w:endnote>
  <w:endnote w:type="continuationSeparator" w:id="0">
    <w:p w14:paraId="51C834A4" w14:textId="77777777" w:rsidR="008B55D5" w:rsidRDefault="008B55D5" w:rsidP="001614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Narrow">
    <w:panose1 w:val="020B050602020203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ＭＳ ゴシック">
    <w:panose1 w:val="00000000000000000000"/>
    <w:charset w:val="80"/>
    <w:family w:val="modern"/>
    <w:notTrueType/>
    <w:pitch w:val="fixed"/>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3F634" w14:textId="77777777" w:rsidR="007D3A90" w:rsidRPr="00B4571E" w:rsidRDefault="007D3A90" w:rsidP="00161459">
    <w:pPr>
      <w:pStyle w:val="Footer"/>
      <w:jc w:val="right"/>
      <w:rPr>
        <w:color w:val="71AC7A"/>
        <w:sz w:val="24"/>
      </w:rPr>
    </w:pPr>
    <w:r w:rsidRPr="00B4571E">
      <w:rPr>
        <w:rStyle w:val="PageNumber"/>
        <w:color w:val="71AC7A"/>
        <w:sz w:val="24"/>
      </w:rPr>
      <w:fldChar w:fldCharType="begin"/>
    </w:r>
    <w:r w:rsidRPr="00B4571E">
      <w:rPr>
        <w:rStyle w:val="PageNumber"/>
        <w:color w:val="71AC7A"/>
        <w:sz w:val="24"/>
      </w:rPr>
      <w:instrText xml:space="preserve"> PAGE </w:instrText>
    </w:r>
    <w:r w:rsidRPr="00B4571E">
      <w:rPr>
        <w:rStyle w:val="PageNumber"/>
        <w:color w:val="71AC7A"/>
        <w:sz w:val="24"/>
      </w:rPr>
      <w:fldChar w:fldCharType="separate"/>
    </w:r>
    <w:r w:rsidR="00702EE3">
      <w:rPr>
        <w:rStyle w:val="PageNumber"/>
        <w:noProof/>
        <w:color w:val="71AC7A"/>
        <w:sz w:val="24"/>
      </w:rPr>
      <w:t>2</w:t>
    </w:r>
    <w:r w:rsidRPr="00B4571E">
      <w:rPr>
        <w:rStyle w:val="PageNumber"/>
        <w:color w:val="71AC7A"/>
        <w:sz w:val="24"/>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79CBA4" w14:textId="77777777" w:rsidR="008B55D5" w:rsidRDefault="008B55D5" w:rsidP="00161459">
      <w:pPr>
        <w:spacing w:line="240" w:lineRule="auto"/>
      </w:pPr>
      <w:r>
        <w:separator/>
      </w:r>
    </w:p>
  </w:footnote>
  <w:footnote w:type="continuationSeparator" w:id="0">
    <w:p w14:paraId="74EE00E7" w14:textId="77777777" w:rsidR="008B55D5" w:rsidRDefault="008B55D5" w:rsidP="00161459">
      <w:pPr>
        <w:spacing w:line="240" w:lineRule="auto"/>
      </w:pPr>
      <w:r>
        <w:continuationSeparator/>
      </w:r>
    </w:p>
  </w:footnote>
  <w:footnote w:id="1">
    <w:p w14:paraId="1C09F3A9" w14:textId="17A90431" w:rsidR="007D3A90" w:rsidRPr="00171395" w:rsidRDefault="007D3A90">
      <w:pPr>
        <w:pStyle w:val="FootnoteText"/>
        <w:rPr>
          <w:lang w:val="en-GB"/>
        </w:rPr>
      </w:pPr>
      <w:r>
        <w:rPr>
          <w:rStyle w:val="FootnoteReference"/>
        </w:rPr>
        <w:footnoteRef/>
      </w:r>
      <w:r>
        <w:t xml:space="preserve"> </w:t>
      </w:r>
      <w:r>
        <w:rPr>
          <w:lang w:val="en-GB"/>
        </w:rPr>
        <w:t>GSMA GPM-Dalberg Research and Analysis, June 2014</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37D128" w14:textId="064EC298" w:rsidR="007D3A90" w:rsidRPr="00B4571E" w:rsidRDefault="007D3A90" w:rsidP="00161459">
    <w:pPr>
      <w:pStyle w:val="Header"/>
      <w:jc w:val="right"/>
      <w:rPr>
        <w:color w:val="71AC7A"/>
      </w:rPr>
    </w:pPr>
    <w:r>
      <w:rPr>
        <w:color w:val="71AC7A"/>
      </w:rPr>
      <w:t>GPM Technical Paper, June 2014</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3BE59" w14:textId="6333CA7A" w:rsidR="00E62B62" w:rsidRDefault="00E62B62" w:rsidP="00E62B62">
    <w:pPr>
      <w:pStyle w:val="Header"/>
      <w:ind w:left="-1701"/>
    </w:pPr>
    <w:r>
      <w:rPr>
        <w:noProof/>
      </w:rPr>
      <w:drawing>
        <wp:inline distT="0" distB="0" distL="0" distR="0" wp14:anchorId="54EB9BB0" wp14:editId="6DC081F5">
          <wp:extent cx="3543300" cy="1090246"/>
          <wp:effectExtent l="0" t="0" r="0" b="0"/>
          <wp:docPr id="67" name="Picture 67" descr="C:\Users\satish.kumar\Desktop\GPM2\IFC-gsma_green_power_RGB-Gray-BiggerPart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ish.kumar\Desktop\GPM2\IFC-gsma_green_power_RGB-Gray-BiggerPartn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51637" cy="1092811"/>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E5049"/>
    <w:multiLevelType w:val="multilevel"/>
    <w:tmpl w:val="1E8E81B6"/>
    <w:lvl w:ilvl="0">
      <w:start w:val="1"/>
      <w:numFmt w:val="bullet"/>
      <w:lvlText w:val=""/>
      <w:lvlJc w:val="left"/>
      <w:pPr>
        <w:ind w:left="360" w:hanging="360"/>
      </w:pPr>
      <w:rPr>
        <w:rFonts w:ascii="Symbol" w:hAnsi="Symbol" w:hint="default"/>
        <w:color w:val="AF1613"/>
      </w:rPr>
    </w:lvl>
    <w:lvl w:ilvl="1">
      <w:start w:val="1"/>
      <w:numFmt w:val="bullet"/>
      <w:lvlText w:val=""/>
      <w:lvlJc w:val="left"/>
      <w:pPr>
        <w:ind w:left="1080" w:hanging="360"/>
      </w:pPr>
      <w:rPr>
        <w:rFonts w:ascii="Symbol" w:hAnsi="Symbol" w:hint="default"/>
        <w:color w:val="AF1613"/>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
    <w:nsid w:val="032E3D38"/>
    <w:multiLevelType w:val="hybridMultilevel"/>
    <w:tmpl w:val="8214CBD0"/>
    <w:lvl w:ilvl="0" w:tplc="9900010E">
      <w:start w:val="1"/>
      <w:numFmt w:val="bullet"/>
      <w:lvlText w:val=""/>
      <w:lvlJc w:val="left"/>
      <w:pPr>
        <w:tabs>
          <w:tab w:val="num" w:pos="720"/>
        </w:tabs>
        <w:ind w:left="720" w:hanging="360"/>
      </w:pPr>
      <w:rPr>
        <w:rFonts w:ascii="Wingdings" w:hAnsi="Wingdings" w:hint="default"/>
      </w:rPr>
    </w:lvl>
    <w:lvl w:ilvl="1" w:tplc="AD96DE90">
      <w:start w:val="487"/>
      <w:numFmt w:val="bullet"/>
      <w:lvlText w:val=""/>
      <w:lvlJc w:val="left"/>
      <w:pPr>
        <w:tabs>
          <w:tab w:val="num" w:pos="1440"/>
        </w:tabs>
        <w:ind w:left="1440" w:hanging="360"/>
      </w:pPr>
      <w:rPr>
        <w:rFonts w:ascii="Wingdings" w:hAnsi="Wingdings" w:hint="default"/>
      </w:rPr>
    </w:lvl>
    <w:lvl w:ilvl="2" w:tplc="ECF030BC">
      <w:start w:val="487"/>
      <w:numFmt w:val="bullet"/>
      <w:lvlText w:val=""/>
      <w:lvlJc w:val="left"/>
      <w:pPr>
        <w:tabs>
          <w:tab w:val="num" w:pos="2160"/>
        </w:tabs>
        <w:ind w:left="2160" w:hanging="360"/>
      </w:pPr>
      <w:rPr>
        <w:rFonts w:ascii="Wingdings" w:hAnsi="Wingdings" w:hint="default"/>
      </w:rPr>
    </w:lvl>
    <w:lvl w:ilvl="3" w:tplc="14E04FCA" w:tentative="1">
      <w:start w:val="1"/>
      <w:numFmt w:val="bullet"/>
      <w:lvlText w:val=""/>
      <w:lvlJc w:val="left"/>
      <w:pPr>
        <w:tabs>
          <w:tab w:val="num" w:pos="2880"/>
        </w:tabs>
        <w:ind w:left="2880" w:hanging="360"/>
      </w:pPr>
      <w:rPr>
        <w:rFonts w:ascii="Wingdings" w:hAnsi="Wingdings" w:hint="default"/>
      </w:rPr>
    </w:lvl>
    <w:lvl w:ilvl="4" w:tplc="817CE308" w:tentative="1">
      <w:start w:val="1"/>
      <w:numFmt w:val="bullet"/>
      <w:lvlText w:val=""/>
      <w:lvlJc w:val="left"/>
      <w:pPr>
        <w:tabs>
          <w:tab w:val="num" w:pos="3600"/>
        </w:tabs>
        <w:ind w:left="3600" w:hanging="360"/>
      </w:pPr>
      <w:rPr>
        <w:rFonts w:ascii="Wingdings" w:hAnsi="Wingdings" w:hint="default"/>
      </w:rPr>
    </w:lvl>
    <w:lvl w:ilvl="5" w:tplc="57FCDE74" w:tentative="1">
      <w:start w:val="1"/>
      <w:numFmt w:val="bullet"/>
      <w:lvlText w:val=""/>
      <w:lvlJc w:val="left"/>
      <w:pPr>
        <w:tabs>
          <w:tab w:val="num" w:pos="4320"/>
        </w:tabs>
        <w:ind w:left="4320" w:hanging="360"/>
      </w:pPr>
      <w:rPr>
        <w:rFonts w:ascii="Wingdings" w:hAnsi="Wingdings" w:hint="default"/>
      </w:rPr>
    </w:lvl>
    <w:lvl w:ilvl="6" w:tplc="CB9A78AC" w:tentative="1">
      <w:start w:val="1"/>
      <w:numFmt w:val="bullet"/>
      <w:lvlText w:val=""/>
      <w:lvlJc w:val="left"/>
      <w:pPr>
        <w:tabs>
          <w:tab w:val="num" w:pos="5040"/>
        </w:tabs>
        <w:ind w:left="5040" w:hanging="360"/>
      </w:pPr>
      <w:rPr>
        <w:rFonts w:ascii="Wingdings" w:hAnsi="Wingdings" w:hint="default"/>
      </w:rPr>
    </w:lvl>
    <w:lvl w:ilvl="7" w:tplc="E67A591A" w:tentative="1">
      <w:start w:val="1"/>
      <w:numFmt w:val="bullet"/>
      <w:lvlText w:val=""/>
      <w:lvlJc w:val="left"/>
      <w:pPr>
        <w:tabs>
          <w:tab w:val="num" w:pos="5760"/>
        </w:tabs>
        <w:ind w:left="5760" w:hanging="360"/>
      </w:pPr>
      <w:rPr>
        <w:rFonts w:ascii="Wingdings" w:hAnsi="Wingdings" w:hint="default"/>
      </w:rPr>
    </w:lvl>
    <w:lvl w:ilvl="8" w:tplc="B40CD5BE" w:tentative="1">
      <w:start w:val="1"/>
      <w:numFmt w:val="bullet"/>
      <w:lvlText w:val=""/>
      <w:lvlJc w:val="left"/>
      <w:pPr>
        <w:tabs>
          <w:tab w:val="num" w:pos="6480"/>
        </w:tabs>
        <w:ind w:left="6480" w:hanging="360"/>
      </w:pPr>
      <w:rPr>
        <w:rFonts w:ascii="Wingdings" w:hAnsi="Wingdings" w:hint="default"/>
      </w:rPr>
    </w:lvl>
  </w:abstractNum>
  <w:abstractNum w:abstractNumId="2">
    <w:nsid w:val="075206E2"/>
    <w:multiLevelType w:val="hybridMultilevel"/>
    <w:tmpl w:val="9202E860"/>
    <w:lvl w:ilvl="0" w:tplc="04090003">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36B1745"/>
    <w:multiLevelType w:val="hybridMultilevel"/>
    <w:tmpl w:val="B3BCCC96"/>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EEF6F3A"/>
    <w:multiLevelType w:val="hybridMultilevel"/>
    <w:tmpl w:val="CA38760C"/>
    <w:lvl w:ilvl="0" w:tplc="E1924BF0">
      <w:start w:val="1"/>
      <w:numFmt w:val="bullet"/>
      <w:lvlText w:val=""/>
      <w:lvlJc w:val="left"/>
      <w:pPr>
        <w:ind w:left="720" w:hanging="360"/>
      </w:pPr>
      <w:rPr>
        <w:rFonts w:ascii="Symbol" w:hAnsi="Symbol" w:hint="default"/>
        <w:color w:val="AF1613"/>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A10728"/>
    <w:multiLevelType w:val="hybridMultilevel"/>
    <w:tmpl w:val="94449A34"/>
    <w:lvl w:ilvl="0" w:tplc="28E41D56">
      <w:start w:val="1"/>
      <w:numFmt w:val="bullet"/>
      <w:lvlText w:val=""/>
      <w:lvlJc w:val="left"/>
      <w:pPr>
        <w:ind w:left="720" w:hanging="360"/>
      </w:pPr>
      <w:rPr>
        <w:rFonts w:ascii="Symbol" w:hAnsi="Symbol" w:hint="default"/>
        <w:color w:val="7CA39B"/>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10E13D3"/>
    <w:multiLevelType w:val="multilevel"/>
    <w:tmpl w:val="F738DBCE"/>
    <w:numStyleLink w:val="List6"/>
  </w:abstractNum>
  <w:abstractNum w:abstractNumId="7">
    <w:nsid w:val="36495498"/>
    <w:multiLevelType w:val="hybridMultilevel"/>
    <w:tmpl w:val="0B62EB5A"/>
    <w:lvl w:ilvl="0" w:tplc="6C789422">
      <w:start w:val="1"/>
      <w:numFmt w:val="bullet"/>
      <w:lvlText w:val=""/>
      <w:lvlJc w:val="left"/>
      <w:pPr>
        <w:tabs>
          <w:tab w:val="num" w:pos="720"/>
        </w:tabs>
        <w:ind w:left="720" w:hanging="360"/>
      </w:pPr>
      <w:rPr>
        <w:rFonts w:ascii="Wingdings" w:hAnsi="Wingdings" w:hint="default"/>
      </w:rPr>
    </w:lvl>
    <w:lvl w:ilvl="1" w:tplc="702839A2" w:tentative="1">
      <w:start w:val="1"/>
      <w:numFmt w:val="bullet"/>
      <w:lvlText w:val=""/>
      <w:lvlJc w:val="left"/>
      <w:pPr>
        <w:tabs>
          <w:tab w:val="num" w:pos="1440"/>
        </w:tabs>
        <w:ind w:left="1440" w:hanging="360"/>
      </w:pPr>
      <w:rPr>
        <w:rFonts w:ascii="Wingdings" w:hAnsi="Wingdings" w:hint="default"/>
      </w:rPr>
    </w:lvl>
    <w:lvl w:ilvl="2" w:tplc="4434E4CC" w:tentative="1">
      <w:start w:val="1"/>
      <w:numFmt w:val="bullet"/>
      <w:lvlText w:val=""/>
      <w:lvlJc w:val="left"/>
      <w:pPr>
        <w:tabs>
          <w:tab w:val="num" w:pos="2160"/>
        </w:tabs>
        <w:ind w:left="2160" w:hanging="360"/>
      </w:pPr>
      <w:rPr>
        <w:rFonts w:ascii="Wingdings" w:hAnsi="Wingdings" w:hint="default"/>
      </w:rPr>
    </w:lvl>
    <w:lvl w:ilvl="3" w:tplc="0E507D62" w:tentative="1">
      <w:start w:val="1"/>
      <w:numFmt w:val="bullet"/>
      <w:lvlText w:val=""/>
      <w:lvlJc w:val="left"/>
      <w:pPr>
        <w:tabs>
          <w:tab w:val="num" w:pos="2880"/>
        </w:tabs>
        <w:ind w:left="2880" w:hanging="360"/>
      </w:pPr>
      <w:rPr>
        <w:rFonts w:ascii="Wingdings" w:hAnsi="Wingdings" w:hint="default"/>
      </w:rPr>
    </w:lvl>
    <w:lvl w:ilvl="4" w:tplc="93DCF540" w:tentative="1">
      <w:start w:val="1"/>
      <w:numFmt w:val="bullet"/>
      <w:lvlText w:val=""/>
      <w:lvlJc w:val="left"/>
      <w:pPr>
        <w:tabs>
          <w:tab w:val="num" w:pos="3600"/>
        </w:tabs>
        <w:ind w:left="3600" w:hanging="360"/>
      </w:pPr>
      <w:rPr>
        <w:rFonts w:ascii="Wingdings" w:hAnsi="Wingdings" w:hint="default"/>
      </w:rPr>
    </w:lvl>
    <w:lvl w:ilvl="5" w:tplc="330CC404" w:tentative="1">
      <w:start w:val="1"/>
      <w:numFmt w:val="bullet"/>
      <w:lvlText w:val=""/>
      <w:lvlJc w:val="left"/>
      <w:pPr>
        <w:tabs>
          <w:tab w:val="num" w:pos="4320"/>
        </w:tabs>
        <w:ind w:left="4320" w:hanging="360"/>
      </w:pPr>
      <w:rPr>
        <w:rFonts w:ascii="Wingdings" w:hAnsi="Wingdings" w:hint="default"/>
      </w:rPr>
    </w:lvl>
    <w:lvl w:ilvl="6" w:tplc="5568E18E" w:tentative="1">
      <w:start w:val="1"/>
      <w:numFmt w:val="bullet"/>
      <w:lvlText w:val=""/>
      <w:lvlJc w:val="left"/>
      <w:pPr>
        <w:tabs>
          <w:tab w:val="num" w:pos="5040"/>
        </w:tabs>
        <w:ind w:left="5040" w:hanging="360"/>
      </w:pPr>
      <w:rPr>
        <w:rFonts w:ascii="Wingdings" w:hAnsi="Wingdings" w:hint="default"/>
      </w:rPr>
    </w:lvl>
    <w:lvl w:ilvl="7" w:tplc="8B3C0A64" w:tentative="1">
      <w:start w:val="1"/>
      <w:numFmt w:val="bullet"/>
      <w:lvlText w:val=""/>
      <w:lvlJc w:val="left"/>
      <w:pPr>
        <w:tabs>
          <w:tab w:val="num" w:pos="5760"/>
        </w:tabs>
        <w:ind w:left="5760" w:hanging="360"/>
      </w:pPr>
      <w:rPr>
        <w:rFonts w:ascii="Wingdings" w:hAnsi="Wingdings" w:hint="default"/>
      </w:rPr>
    </w:lvl>
    <w:lvl w:ilvl="8" w:tplc="E8360882" w:tentative="1">
      <w:start w:val="1"/>
      <w:numFmt w:val="bullet"/>
      <w:lvlText w:val=""/>
      <w:lvlJc w:val="left"/>
      <w:pPr>
        <w:tabs>
          <w:tab w:val="num" w:pos="6480"/>
        </w:tabs>
        <w:ind w:left="6480" w:hanging="360"/>
      </w:pPr>
      <w:rPr>
        <w:rFonts w:ascii="Wingdings" w:hAnsi="Wingdings" w:hint="default"/>
      </w:rPr>
    </w:lvl>
  </w:abstractNum>
  <w:abstractNum w:abstractNumId="8">
    <w:nsid w:val="3D4F5278"/>
    <w:multiLevelType w:val="multilevel"/>
    <w:tmpl w:val="8F18287E"/>
    <w:lvl w:ilvl="0">
      <w:start w:val="1"/>
      <w:numFmt w:val="decimal"/>
      <w:lvlText w:val="%1."/>
      <w:lvlJc w:val="left"/>
      <w:pPr>
        <w:tabs>
          <w:tab w:val="num" w:pos="283"/>
        </w:tabs>
        <w:ind w:left="283" w:hanging="283"/>
      </w:pPr>
      <w:rPr>
        <w:rFonts w:hint="default"/>
        <w:color w:val="7CA39B"/>
        <w:position w:val="0"/>
      </w:rPr>
    </w:lvl>
    <w:lvl w:ilvl="1">
      <w:start w:val="1"/>
      <w:numFmt w:val="bullet"/>
      <w:lvlText w:val="o"/>
      <w:lvlJc w:val="left"/>
      <w:pPr>
        <w:tabs>
          <w:tab w:val="num" w:pos="1440"/>
        </w:tabs>
        <w:ind w:left="1440" w:hanging="360"/>
      </w:pPr>
      <w:rPr>
        <w:rFonts w:ascii="Arial Narrow" w:eastAsia="Arial Narrow" w:hAnsi="Arial Narrow" w:cs="Arial Narrow"/>
        <w:color w:val="FFFFFF"/>
        <w:position w:val="0"/>
      </w:rPr>
    </w:lvl>
    <w:lvl w:ilvl="2">
      <w:start w:val="1"/>
      <w:numFmt w:val="bullet"/>
      <w:lvlText w:val="•"/>
      <w:lvlJc w:val="left"/>
      <w:pPr>
        <w:tabs>
          <w:tab w:val="num" w:pos="2160"/>
        </w:tabs>
        <w:ind w:left="2160" w:hanging="360"/>
      </w:pPr>
      <w:rPr>
        <w:rFonts w:ascii="Arial Narrow" w:eastAsia="Arial Narrow" w:hAnsi="Arial Narrow" w:cs="Arial Narrow"/>
        <w:color w:val="FFFFFF"/>
        <w:position w:val="0"/>
      </w:rPr>
    </w:lvl>
    <w:lvl w:ilvl="3">
      <w:start w:val="1"/>
      <w:numFmt w:val="bullet"/>
      <w:lvlText w:val="•"/>
      <w:lvlJc w:val="left"/>
      <w:pPr>
        <w:tabs>
          <w:tab w:val="num" w:pos="2880"/>
        </w:tabs>
        <w:ind w:left="2880" w:hanging="360"/>
      </w:pPr>
      <w:rPr>
        <w:rFonts w:ascii="Arial Narrow" w:eastAsia="Arial Narrow" w:hAnsi="Arial Narrow" w:cs="Arial Narrow"/>
        <w:color w:val="FFFFFF"/>
        <w:position w:val="0"/>
      </w:rPr>
    </w:lvl>
    <w:lvl w:ilvl="4">
      <w:start w:val="1"/>
      <w:numFmt w:val="bullet"/>
      <w:lvlText w:val="o"/>
      <w:lvlJc w:val="left"/>
      <w:pPr>
        <w:tabs>
          <w:tab w:val="num" w:pos="3600"/>
        </w:tabs>
        <w:ind w:left="3600" w:hanging="360"/>
      </w:pPr>
      <w:rPr>
        <w:rFonts w:ascii="Arial Narrow" w:eastAsia="Arial Narrow" w:hAnsi="Arial Narrow" w:cs="Arial Narrow"/>
        <w:color w:val="FFFFFF"/>
        <w:position w:val="0"/>
      </w:rPr>
    </w:lvl>
    <w:lvl w:ilvl="5">
      <w:start w:val="1"/>
      <w:numFmt w:val="bullet"/>
      <w:lvlText w:val=""/>
      <w:lvlJc w:val="left"/>
      <w:pPr>
        <w:tabs>
          <w:tab w:val="num" w:pos="4320"/>
        </w:tabs>
        <w:ind w:left="4320" w:hanging="360"/>
      </w:pPr>
      <w:rPr>
        <w:rFonts w:ascii="Arial Narrow" w:eastAsia="Arial Narrow" w:hAnsi="Arial Narrow" w:cs="Arial Narrow"/>
        <w:color w:val="FFFFFF"/>
        <w:position w:val="0"/>
      </w:rPr>
    </w:lvl>
    <w:lvl w:ilvl="6">
      <w:start w:val="1"/>
      <w:numFmt w:val="bullet"/>
      <w:lvlText w:val="•"/>
      <w:lvlJc w:val="left"/>
      <w:pPr>
        <w:tabs>
          <w:tab w:val="num" w:pos="5040"/>
        </w:tabs>
        <w:ind w:left="5040" w:hanging="360"/>
      </w:pPr>
      <w:rPr>
        <w:rFonts w:ascii="Arial Narrow" w:eastAsia="Arial Narrow" w:hAnsi="Arial Narrow" w:cs="Arial Narrow"/>
        <w:color w:val="FFFFFF"/>
        <w:position w:val="0"/>
      </w:rPr>
    </w:lvl>
    <w:lvl w:ilvl="7">
      <w:start w:val="1"/>
      <w:numFmt w:val="bullet"/>
      <w:lvlText w:val="o"/>
      <w:lvlJc w:val="left"/>
      <w:pPr>
        <w:tabs>
          <w:tab w:val="num" w:pos="5760"/>
        </w:tabs>
        <w:ind w:left="5760" w:hanging="360"/>
      </w:pPr>
      <w:rPr>
        <w:rFonts w:ascii="Arial Narrow" w:eastAsia="Arial Narrow" w:hAnsi="Arial Narrow" w:cs="Arial Narrow"/>
        <w:color w:val="FFFFFF"/>
        <w:position w:val="0"/>
      </w:rPr>
    </w:lvl>
    <w:lvl w:ilvl="8">
      <w:start w:val="1"/>
      <w:numFmt w:val="bullet"/>
      <w:lvlText w:val=""/>
      <w:lvlJc w:val="left"/>
      <w:pPr>
        <w:tabs>
          <w:tab w:val="num" w:pos="6480"/>
        </w:tabs>
        <w:ind w:left="6480" w:hanging="360"/>
      </w:pPr>
      <w:rPr>
        <w:rFonts w:ascii="Arial Narrow" w:eastAsia="Arial Narrow" w:hAnsi="Arial Narrow" w:cs="Arial Narrow"/>
        <w:color w:val="FFFFFF"/>
        <w:position w:val="0"/>
      </w:rPr>
    </w:lvl>
  </w:abstractNum>
  <w:abstractNum w:abstractNumId="9">
    <w:nsid w:val="3F3A4452"/>
    <w:multiLevelType w:val="hybridMultilevel"/>
    <w:tmpl w:val="703E6B06"/>
    <w:lvl w:ilvl="0" w:tplc="E1924BF0">
      <w:start w:val="1"/>
      <w:numFmt w:val="bullet"/>
      <w:lvlText w:val=""/>
      <w:lvlJc w:val="left"/>
      <w:pPr>
        <w:ind w:left="360" w:hanging="360"/>
      </w:pPr>
      <w:rPr>
        <w:rFonts w:ascii="Symbol" w:hAnsi="Symbol" w:hint="default"/>
        <w:color w:val="AF1613"/>
      </w:rPr>
    </w:lvl>
    <w:lvl w:ilvl="1" w:tplc="C3344686">
      <w:start w:val="1"/>
      <w:numFmt w:val="bullet"/>
      <w:lvlText w:val="o"/>
      <w:lvlJc w:val="left"/>
      <w:pPr>
        <w:ind w:left="1080" w:hanging="360"/>
      </w:pPr>
      <w:rPr>
        <w:rFonts w:ascii="Courier New" w:hAnsi="Courier New" w:hint="default"/>
        <w:color w:val="80000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41731745"/>
    <w:multiLevelType w:val="hybridMultilevel"/>
    <w:tmpl w:val="D30E6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F594ADE"/>
    <w:multiLevelType w:val="multilevel"/>
    <w:tmpl w:val="F738DBCE"/>
    <w:styleLink w:val="List6"/>
    <w:lvl w:ilvl="0">
      <w:numFmt w:val="bullet"/>
      <w:lvlText w:val="•"/>
      <w:lvlJc w:val="left"/>
      <w:pPr>
        <w:tabs>
          <w:tab w:val="num" w:pos="283"/>
        </w:tabs>
        <w:ind w:left="283" w:hanging="283"/>
      </w:pPr>
      <w:rPr>
        <w:rFonts w:ascii="Arial Narrow" w:eastAsia="Arial Narrow" w:hAnsi="Arial Narrow" w:cs="Arial Narrow"/>
        <w:color w:val="7CA39B"/>
        <w:position w:val="0"/>
      </w:rPr>
    </w:lvl>
    <w:lvl w:ilvl="1">
      <w:start w:val="1"/>
      <w:numFmt w:val="bullet"/>
      <w:lvlText w:val="o"/>
      <w:lvlJc w:val="left"/>
      <w:pPr>
        <w:tabs>
          <w:tab w:val="num" w:pos="1440"/>
        </w:tabs>
        <w:ind w:left="1440" w:hanging="360"/>
      </w:pPr>
      <w:rPr>
        <w:rFonts w:ascii="Arial Narrow" w:eastAsia="Arial Narrow" w:hAnsi="Arial Narrow" w:cs="Arial Narrow"/>
        <w:color w:val="FFFFFF"/>
        <w:position w:val="0"/>
      </w:rPr>
    </w:lvl>
    <w:lvl w:ilvl="2">
      <w:start w:val="1"/>
      <w:numFmt w:val="bullet"/>
      <w:lvlText w:val="•"/>
      <w:lvlJc w:val="left"/>
      <w:pPr>
        <w:tabs>
          <w:tab w:val="num" w:pos="2160"/>
        </w:tabs>
        <w:ind w:left="2160" w:hanging="360"/>
      </w:pPr>
      <w:rPr>
        <w:rFonts w:ascii="Arial Narrow" w:eastAsia="Arial Narrow" w:hAnsi="Arial Narrow" w:cs="Arial Narrow"/>
        <w:color w:val="FFFFFF"/>
        <w:position w:val="0"/>
      </w:rPr>
    </w:lvl>
    <w:lvl w:ilvl="3">
      <w:start w:val="1"/>
      <w:numFmt w:val="bullet"/>
      <w:lvlText w:val="•"/>
      <w:lvlJc w:val="left"/>
      <w:pPr>
        <w:tabs>
          <w:tab w:val="num" w:pos="2880"/>
        </w:tabs>
        <w:ind w:left="2880" w:hanging="360"/>
      </w:pPr>
      <w:rPr>
        <w:rFonts w:ascii="Arial Narrow" w:eastAsia="Arial Narrow" w:hAnsi="Arial Narrow" w:cs="Arial Narrow"/>
        <w:color w:val="FFFFFF"/>
        <w:position w:val="0"/>
      </w:rPr>
    </w:lvl>
    <w:lvl w:ilvl="4">
      <w:start w:val="1"/>
      <w:numFmt w:val="bullet"/>
      <w:lvlText w:val="o"/>
      <w:lvlJc w:val="left"/>
      <w:pPr>
        <w:tabs>
          <w:tab w:val="num" w:pos="3600"/>
        </w:tabs>
        <w:ind w:left="3600" w:hanging="360"/>
      </w:pPr>
      <w:rPr>
        <w:rFonts w:ascii="Arial Narrow" w:eastAsia="Arial Narrow" w:hAnsi="Arial Narrow" w:cs="Arial Narrow"/>
        <w:color w:val="FFFFFF"/>
        <w:position w:val="0"/>
      </w:rPr>
    </w:lvl>
    <w:lvl w:ilvl="5">
      <w:start w:val="1"/>
      <w:numFmt w:val="bullet"/>
      <w:lvlText w:val=""/>
      <w:lvlJc w:val="left"/>
      <w:pPr>
        <w:tabs>
          <w:tab w:val="num" w:pos="4320"/>
        </w:tabs>
        <w:ind w:left="4320" w:hanging="360"/>
      </w:pPr>
      <w:rPr>
        <w:rFonts w:ascii="Arial Narrow" w:eastAsia="Arial Narrow" w:hAnsi="Arial Narrow" w:cs="Arial Narrow"/>
        <w:color w:val="FFFFFF"/>
        <w:position w:val="0"/>
      </w:rPr>
    </w:lvl>
    <w:lvl w:ilvl="6">
      <w:start w:val="1"/>
      <w:numFmt w:val="bullet"/>
      <w:lvlText w:val="•"/>
      <w:lvlJc w:val="left"/>
      <w:pPr>
        <w:tabs>
          <w:tab w:val="num" w:pos="5040"/>
        </w:tabs>
        <w:ind w:left="5040" w:hanging="360"/>
      </w:pPr>
      <w:rPr>
        <w:rFonts w:ascii="Arial Narrow" w:eastAsia="Arial Narrow" w:hAnsi="Arial Narrow" w:cs="Arial Narrow"/>
        <w:color w:val="FFFFFF"/>
        <w:position w:val="0"/>
      </w:rPr>
    </w:lvl>
    <w:lvl w:ilvl="7">
      <w:start w:val="1"/>
      <w:numFmt w:val="bullet"/>
      <w:lvlText w:val="o"/>
      <w:lvlJc w:val="left"/>
      <w:pPr>
        <w:tabs>
          <w:tab w:val="num" w:pos="5760"/>
        </w:tabs>
        <w:ind w:left="5760" w:hanging="360"/>
      </w:pPr>
      <w:rPr>
        <w:rFonts w:ascii="Arial Narrow" w:eastAsia="Arial Narrow" w:hAnsi="Arial Narrow" w:cs="Arial Narrow"/>
        <w:color w:val="FFFFFF"/>
        <w:position w:val="0"/>
      </w:rPr>
    </w:lvl>
    <w:lvl w:ilvl="8">
      <w:start w:val="1"/>
      <w:numFmt w:val="bullet"/>
      <w:lvlText w:val=""/>
      <w:lvlJc w:val="left"/>
      <w:pPr>
        <w:tabs>
          <w:tab w:val="num" w:pos="6480"/>
        </w:tabs>
        <w:ind w:left="6480" w:hanging="360"/>
      </w:pPr>
      <w:rPr>
        <w:rFonts w:ascii="Arial Narrow" w:eastAsia="Arial Narrow" w:hAnsi="Arial Narrow" w:cs="Arial Narrow"/>
        <w:color w:val="FFFFFF"/>
        <w:position w:val="0"/>
      </w:rPr>
    </w:lvl>
  </w:abstractNum>
  <w:abstractNum w:abstractNumId="12">
    <w:nsid w:val="509F1C74"/>
    <w:multiLevelType w:val="hybridMultilevel"/>
    <w:tmpl w:val="92E02C5A"/>
    <w:lvl w:ilvl="0" w:tplc="D366A3BA">
      <w:start w:val="1"/>
      <w:numFmt w:val="bullet"/>
      <w:lvlText w:val=""/>
      <w:lvlJc w:val="left"/>
      <w:pPr>
        <w:tabs>
          <w:tab w:val="num" w:pos="720"/>
        </w:tabs>
        <w:ind w:left="720" w:hanging="360"/>
      </w:pPr>
      <w:rPr>
        <w:rFonts w:ascii="Wingdings" w:hAnsi="Wingdings" w:hint="default"/>
      </w:rPr>
    </w:lvl>
    <w:lvl w:ilvl="1" w:tplc="AC908C12">
      <w:start w:val="487"/>
      <w:numFmt w:val="bullet"/>
      <w:lvlText w:val=""/>
      <w:lvlJc w:val="left"/>
      <w:pPr>
        <w:tabs>
          <w:tab w:val="num" w:pos="1440"/>
        </w:tabs>
        <w:ind w:left="1440" w:hanging="360"/>
      </w:pPr>
      <w:rPr>
        <w:rFonts w:ascii="Wingdings" w:hAnsi="Wingdings" w:hint="default"/>
      </w:rPr>
    </w:lvl>
    <w:lvl w:ilvl="2" w:tplc="F8C08DEE" w:tentative="1">
      <w:start w:val="1"/>
      <w:numFmt w:val="bullet"/>
      <w:lvlText w:val=""/>
      <w:lvlJc w:val="left"/>
      <w:pPr>
        <w:tabs>
          <w:tab w:val="num" w:pos="2160"/>
        </w:tabs>
        <w:ind w:left="2160" w:hanging="360"/>
      </w:pPr>
      <w:rPr>
        <w:rFonts w:ascii="Wingdings" w:hAnsi="Wingdings" w:hint="default"/>
      </w:rPr>
    </w:lvl>
    <w:lvl w:ilvl="3" w:tplc="51662BC0" w:tentative="1">
      <w:start w:val="1"/>
      <w:numFmt w:val="bullet"/>
      <w:lvlText w:val=""/>
      <w:lvlJc w:val="left"/>
      <w:pPr>
        <w:tabs>
          <w:tab w:val="num" w:pos="2880"/>
        </w:tabs>
        <w:ind w:left="2880" w:hanging="360"/>
      </w:pPr>
      <w:rPr>
        <w:rFonts w:ascii="Wingdings" w:hAnsi="Wingdings" w:hint="default"/>
      </w:rPr>
    </w:lvl>
    <w:lvl w:ilvl="4" w:tplc="C0BA11D0" w:tentative="1">
      <w:start w:val="1"/>
      <w:numFmt w:val="bullet"/>
      <w:lvlText w:val=""/>
      <w:lvlJc w:val="left"/>
      <w:pPr>
        <w:tabs>
          <w:tab w:val="num" w:pos="3600"/>
        </w:tabs>
        <w:ind w:left="3600" w:hanging="360"/>
      </w:pPr>
      <w:rPr>
        <w:rFonts w:ascii="Wingdings" w:hAnsi="Wingdings" w:hint="default"/>
      </w:rPr>
    </w:lvl>
    <w:lvl w:ilvl="5" w:tplc="AC2A790A" w:tentative="1">
      <w:start w:val="1"/>
      <w:numFmt w:val="bullet"/>
      <w:lvlText w:val=""/>
      <w:lvlJc w:val="left"/>
      <w:pPr>
        <w:tabs>
          <w:tab w:val="num" w:pos="4320"/>
        </w:tabs>
        <w:ind w:left="4320" w:hanging="360"/>
      </w:pPr>
      <w:rPr>
        <w:rFonts w:ascii="Wingdings" w:hAnsi="Wingdings" w:hint="default"/>
      </w:rPr>
    </w:lvl>
    <w:lvl w:ilvl="6" w:tplc="F550C06A" w:tentative="1">
      <w:start w:val="1"/>
      <w:numFmt w:val="bullet"/>
      <w:lvlText w:val=""/>
      <w:lvlJc w:val="left"/>
      <w:pPr>
        <w:tabs>
          <w:tab w:val="num" w:pos="5040"/>
        </w:tabs>
        <w:ind w:left="5040" w:hanging="360"/>
      </w:pPr>
      <w:rPr>
        <w:rFonts w:ascii="Wingdings" w:hAnsi="Wingdings" w:hint="default"/>
      </w:rPr>
    </w:lvl>
    <w:lvl w:ilvl="7" w:tplc="40AC8F5A" w:tentative="1">
      <w:start w:val="1"/>
      <w:numFmt w:val="bullet"/>
      <w:lvlText w:val=""/>
      <w:lvlJc w:val="left"/>
      <w:pPr>
        <w:tabs>
          <w:tab w:val="num" w:pos="5760"/>
        </w:tabs>
        <w:ind w:left="5760" w:hanging="360"/>
      </w:pPr>
      <w:rPr>
        <w:rFonts w:ascii="Wingdings" w:hAnsi="Wingdings" w:hint="default"/>
      </w:rPr>
    </w:lvl>
    <w:lvl w:ilvl="8" w:tplc="185CDB4A" w:tentative="1">
      <w:start w:val="1"/>
      <w:numFmt w:val="bullet"/>
      <w:lvlText w:val=""/>
      <w:lvlJc w:val="left"/>
      <w:pPr>
        <w:tabs>
          <w:tab w:val="num" w:pos="6480"/>
        </w:tabs>
        <w:ind w:left="6480" w:hanging="360"/>
      </w:pPr>
      <w:rPr>
        <w:rFonts w:ascii="Wingdings" w:hAnsi="Wingdings" w:hint="default"/>
      </w:rPr>
    </w:lvl>
  </w:abstractNum>
  <w:abstractNum w:abstractNumId="13">
    <w:nsid w:val="5C3C270D"/>
    <w:multiLevelType w:val="hybridMultilevel"/>
    <w:tmpl w:val="67EE75E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nsid w:val="5F7A05D8"/>
    <w:multiLevelType w:val="hybridMultilevel"/>
    <w:tmpl w:val="D02CCC6C"/>
    <w:lvl w:ilvl="0" w:tplc="DD2C8F26">
      <w:start w:val="1"/>
      <w:numFmt w:val="bullet"/>
      <w:lvlText w:val=""/>
      <w:lvlJc w:val="left"/>
      <w:pPr>
        <w:tabs>
          <w:tab w:val="num" w:pos="720"/>
        </w:tabs>
        <w:ind w:left="720" w:hanging="360"/>
      </w:pPr>
      <w:rPr>
        <w:rFonts w:ascii="Wingdings" w:hAnsi="Wingdings" w:hint="default"/>
      </w:rPr>
    </w:lvl>
    <w:lvl w:ilvl="1" w:tplc="1188DA9E" w:tentative="1">
      <w:start w:val="1"/>
      <w:numFmt w:val="bullet"/>
      <w:lvlText w:val=""/>
      <w:lvlJc w:val="left"/>
      <w:pPr>
        <w:tabs>
          <w:tab w:val="num" w:pos="1440"/>
        </w:tabs>
        <w:ind w:left="1440" w:hanging="360"/>
      </w:pPr>
      <w:rPr>
        <w:rFonts w:ascii="Wingdings" w:hAnsi="Wingdings" w:hint="default"/>
      </w:rPr>
    </w:lvl>
    <w:lvl w:ilvl="2" w:tplc="8536D132" w:tentative="1">
      <w:start w:val="1"/>
      <w:numFmt w:val="bullet"/>
      <w:lvlText w:val=""/>
      <w:lvlJc w:val="left"/>
      <w:pPr>
        <w:tabs>
          <w:tab w:val="num" w:pos="2160"/>
        </w:tabs>
        <w:ind w:left="2160" w:hanging="360"/>
      </w:pPr>
      <w:rPr>
        <w:rFonts w:ascii="Wingdings" w:hAnsi="Wingdings" w:hint="default"/>
      </w:rPr>
    </w:lvl>
    <w:lvl w:ilvl="3" w:tplc="2542C3AE" w:tentative="1">
      <w:start w:val="1"/>
      <w:numFmt w:val="bullet"/>
      <w:lvlText w:val=""/>
      <w:lvlJc w:val="left"/>
      <w:pPr>
        <w:tabs>
          <w:tab w:val="num" w:pos="2880"/>
        </w:tabs>
        <w:ind w:left="2880" w:hanging="360"/>
      </w:pPr>
      <w:rPr>
        <w:rFonts w:ascii="Wingdings" w:hAnsi="Wingdings" w:hint="default"/>
      </w:rPr>
    </w:lvl>
    <w:lvl w:ilvl="4" w:tplc="6ED8B1B4" w:tentative="1">
      <w:start w:val="1"/>
      <w:numFmt w:val="bullet"/>
      <w:lvlText w:val=""/>
      <w:lvlJc w:val="left"/>
      <w:pPr>
        <w:tabs>
          <w:tab w:val="num" w:pos="3600"/>
        </w:tabs>
        <w:ind w:left="3600" w:hanging="360"/>
      </w:pPr>
      <w:rPr>
        <w:rFonts w:ascii="Wingdings" w:hAnsi="Wingdings" w:hint="default"/>
      </w:rPr>
    </w:lvl>
    <w:lvl w:ilvl="5" w:tplc="D4E866F8" w:tentative="1">
      <w:start w:val="1"/>
      <w:numFmt w:val="bullet"/>
      <w:lvlText w:val=""/>
      <w:lvlJc w:val="left"/>
      <w:pPr>
        <w:tabs>
          <w:tab w:val="num" w:pos="4320"/>
        </w:tabs>
        <w:ind w:left="4320" w:hanging="360"/>
      </w:pPr>
      <w:rPr>
        <w:rFonts w:ascii="Wingdings" w:hAnsi="Wingdings" w:hint="default"/>
      </w:rPr>
    </w:lvl>
    <w:lvl w:ilvl="6" w:tplc="BE729730" w:tentative="1">
      <w:start w:val="1"/>
      <w:numFmt w:val="bullet"/>
      <w:lvlText w:val=""/>
      <w:lvlJc w:val="left"/>
      <w:pPr>
        <w:tabs>
          <w:tab w:val="num" w:pos="5040"/>
        </w:tabs>
        <w:ind w:left="5040" w:hanging="360"/>
      </w:pPr>
      <w:rPr>
        <w:rFonts w:ascii="Wingdings" w:hAnsi="Wingdings" w:hint="default"/>
      </w:rPr>
    </w:lvl>
    <w:lvl w:ilvl="7" w:tplc="A22CE452" w:tentative="1">
      <w:start w:val="1"/>
      <w:numFmt w:val="bullet"/>
      <w:lvlText w:val=""/>
      <w:lvlJc w:val="left"/>
      <w:pPr>
        <w:tabs>
          <w:tab w:val="num" w:pos="5760"/>
        </w:tabs>
        <w:ind w:left="5760" w:hanging="360"/>
      </w:pPr>
      <w:rPr>
        <w:rFonts w:ascii="Wingdings" w:hAnsi="Wingdings" w:hint="default"/>
      </w:rPr>
    </w:lvl>
    <w:lvl w:ilvl="8" w:tplc="D826E35E" w:tentative="1">
      <w:start w:val="1"/>
      <w:numFmt w:val="bullet"/>
      <w:lvlText w:val=""/>
      <w:lvlJc w:val="left"/>
      <w:pPr>
        <w:tabs>
          <w:tab w:val="num" w:pos="6480"/>
        </w:tabs>
        <w:ind w:left="6480" w:hanging="360"/>
      </w:pPr>
      <w:rPr>
        <w:rFonts w:ascii="Wingdings" w:hAnsi="Wingdings" w:hint="default"/>
      </w:rPr>
    </w:lvl>
  </w:abstractNum>
  <w:abstractNum w:abstractNumId="15">
    <w:nsid w:val="615701C3"/>
    <w:multiLevelType w:val="hybridMultilevel"/>
    <w:tmpl w:val="7A9E9CF4"/>
    <w:lvl w:ilvl="0" w:tplc="D0722588">
      <w:start w:val="1"/>
      <w:numFmt w:val="bullet"/>
      <w:lvlText w:val=""/>
      <w:lvlJc w:val="left"/>
      <w:pPr>
        <w:tabs>
          <w:tab w:val="num" w:pos="720"/>
        </w:tabs>
        <w:ind w:left="720" w:hanging="360"/>
      </w:pPr>
      <w:rPr>
        <w:rFonts w:ascii="Wingdings" w:hAnsi="Wingdings" w:hint="default"/>
      </w:rPr>
    </w:lvl>
    <w:lvl w:ilvl="1" w:tplc="374EFCB4" w:tentative="1">
      <w:start w:val="1"/>
      <w:numFmt w:val="bullet"/>
      <w:lvlText w:val=""/>
      <w:lvlJc w:val="left"/>
      <w:pPr>
        <w:tabs>
          <w:tab w:val="num" w:pos="1440"/>
        </w:tabs>
        <w:ind w:left="1440" w:hanging="360"/>
      </w:pPr>
      <w:rPr>
        <w:rFonts w:ascii="Wingdings" w:hAnsi="Wingdings" w:hint="default"/>
      </w:rPr>
    </w:lvl>
    <w:lvl w:ilvl="2" w:tplc="1E446338" w:tentative="1">
      <w:start w:val="1"/>
      <w:numFmt w:val="bullet"/>
      <w:lvlText w:val=""/>
      <w:lvlJc w:val="left"/>
      <w:pPr>
        <w:tabs>
          <w:tab w:val="num" w:pos="2160"/>
        </w:tabs>
        <w:ind w:left="2160" w:hanging="360"/>
      </w:pPr>
      <w:rPr>
        <w:rFonts w:ascii="Wingdings" w:hAnsi="Wingdings" w:hint="default"/>
      </w:rPr>
    </w:lvl>
    <w:lvl w:ilvl="3" w:tplc="E5D6CBFC" w:tentative="1">
      <w:start w:val="1"/>
      <w:numFmt w:val="bullet"/>
      <w:lvlText w:val=""/>
      <w:lvlJc w:val="left"/>
      <w:pPr>
        <w:tabs>
          <w:tab w:val="num" w:pos="2880"/>
        </w:tabs>
        <w:ind w:left="2880" w:hanging="360"/>
      </w:pPr>
      <w:rPr>
        <w:rFonts w:ascii="Wingdings" w:hAnsi="Wingdings" w:hint="default"/>
      </w:rPr>
    </w:lvl>
    <w:lvl w:ilvl="4" w:tplc="2548C7BA" w:tentative="1">
      <w:start w:val="1"/>
      <w:numFmt w:val="bullet"/>
      <w:lvlText w:val=""/>
      <w:lvlJc w:val="left"/>
      <w:pPr>
        <w:tabs>
          <w:tab w:val="num" w:pos="3600"/>
        </w:tabs>
        <w:ind w:left="3600" w:hanging="360"/>
      </w:pPr>
      <w:rPr>
        <w:rFonts w:ascii="Wingdings" w:hAnsi="Wingdings" w:hint="default"/>
      </w:rPr>
    </w:lvl>
    <w:lvl w:ilvl="5" w:tplc="BCF0E08C" w:tentative="1">
      <w:start w:val="1"/>
      <w:numFmt w:val="bullet"/>
      <w:lvlText w:val=""/>
      <w:lvlJc w:val="left"/>
      <w:pPr>
        <w:tabs>
          <w:tab w:val="num" w:pos="4320"/>
        </w:tabs>
        <w:ind w:left="4320" w:hanging="360"/>
      </w:pPr>
      <w:rPr>
        <w:rFonts w:ascii="Wingdings" w:hAnsi="Wingdings" w:hint="default"/>
      </w:rPr>
    </w:lvl>
    <w:lvl w:ilvl="6" w:tplc="06BEF898" w:tentative="1">
      <w:start w:val="1"/>
      <w:numFmt w:val="bullet"/>
      <w:lvlText w:val=""/>
      <w:lvlJc w:val="left"/>
      <w:pPr>
        <w:tabs>
          <w:tab w:val="num" w:pos="5040"/>
        </w:tabs>
        <w:ind w:left="5040" w:hanging="360"/>
      </w:pPr>
      <w:rPr>
        <w:rFonts w:ascii="Wingdings" w:hAnsi="Wingdings" w:hint="default"/>
      </w:rPr>
    </w:lvl>
    <w:lvl w:ilvl="7" w:tplc="A64AFB0A" w:tentative="1">
      <w:start w:val="1"/>
      <w:numFmt w:val="bullet"/>
      <w:lvlText w:val=""/>
      <w:lvlJc w:val="left"/>
      <w:pPr>
        <w:tabs>
          <w:tab w:val="num" w:pos="5760"/>
        </w:tabs>
        <w:ind w:left="5760" w:hanging="360"/>
      </w:pPr>
      <w:rPr>
        <w:rFonts w:ascii="Wingdings" w:hAnsi="Wingdings" w:hint="default"/>
      </w:rPr>
    </w:lvl>
    <w:lvl w:ilvl="8" w:tplc="320EC6BE" w:tentative="1">
      <w:start w:val="1"/>
      <w:numFmt w:val="bullet"/>
      <w:lvlText w:val=""/>
      <w:lvlJc w:val="left"/>
      <w:pPr>
        <w:tabs>
          <w:tab w:val="num" w:pos="6480"/>
        </w:tabs>
        <w:ind w:left="6480" w:hanging="360"/>
      </w:pPr>
      <w:rPr>
        <w:rFonts w:ascii="Wingdings" w:hAnsi="Wingdings" w:hint="default"/>
      </w:rPr>
    </w:lvl>
  </w:abstractNum>
  <w:abstractNum w:abstractNumId="16">
    <w:nsid w:val="742743C6"/>
    <w:multiLevelType w:val="hybridMultilevel"/>
    <w:tmpl w:val="95A0A8F2"/>
    <w:lvl w:ilvl="0" w:tplc="D99015C8">
      <w:start w:val="1"/>
      <w:numFmt w:val="bullet"/>
      <w:lvlText w:val=""/>
      <w:lvlJc w:val="left"/>
      <w:pPr>
        <w:tabs>
          <w:tab w:val="num" w:pos="720"/>
        </w:tabs>
        <w:ind w:left="720" w:hanging="360"/>
      </w:pPr>
      <w:rPr>
        <w:rFonts w:ascii="Wingdings" w:hAnsi="Wingdings" w:hint="default"/>
      </w:rPr>
    </w:lvl>
    <w:lvl w:ilvl="1" w:tplc="18607B1C" w:tentative="1">
      <w:start w:val="1"/>
      <w:numFmt w:val="bullet"/>
      <w:lvlText w:val=""/>
      <w:lvlJc w:val="left"/>
      <w:pPr>
        <w:tabs>
          <w:tab w:val="num" w:pos="1440"/>
        </w:tabs>
        <w:ind w:left="1440" w:hanging="360"/>
      </w:pPr>
      <w:rPr>
        <w:rFonts w:ascii="Wingdings" w:hAnsi="Wingdings" w:hint="default"/>
      </w:rPr>
    </w:lvl>
    <w:lvl w:ilvl="2" w:tplc="53C4FC4C" w:tentative="1">
      <w:start w:val="1"/>
      <w:numFmt w:val="bullet"/>
      <w:lvlText w:val=""/>
      <w:lvlJc w:val="left"/>
      <w:pPr>
        <w:tabs>
          <w:tab w:val="num" w:pos="2160"/>
        </w:tabs>
        <w:ind w:left="2160" w:hanging="360"/>
      </w:pPr>
      <w:rPr>
        <w:rFonts w:ascii="Wingdings" w:hAnsi="Wingdings" w:hint="default"/>
      </w:rPr>
    </w:lvl>
    <w:lvl w:ilvl="3" w:tplc="AF24A2AE" w:tentative="1">
      <w:start w:val="1"/>
      <w:numFmt w:val="bullet"/>
      <w:lvlText w:val=""/>
      <w:lvlJc w:val="left"/>
      <w:pPr>
        <w:tabs>
          <w:tab w:val="num" w:pos="2880"/>
        </w:tabs>
        <w:ind w:left="2880" w:hanging="360"/>
      </w:pPr>
      <w:rPr>
        <w:rFonts w:ascii="Wingdings" w:hAnsi="Wingdings" w:hint="default"/>
      </w:rPr>
    </w:lvl>
    <w:lvl w:ilvl="4" w:tplc="5D863AFE" w:tentative="1">
      <w:start w:val="1"/>
      <w:numFmt w:val="bullet"/>
      <w:lvlText w:val=""/>
      <w:lvlJc w:val="left"/>
      <w:pPr>
        <w:tabs>
          <w:tab w:val="num" w:pos="3600"/>
        </w:tabs>
        <w:ind w:left="3600" w:hanging="360"/>
      </w:pPr>
      <w:rPr>
        <w:rFonts w:ascii="Wingdings" w:hAnsi="Wingdings" w:hint="default"/>
      </w:rPr>
    </w:lvl>
    <w:lvl w:ilvl="5" w:tplc="B58E77EE" w:tentative="1">
      <w:start w:val="1"/>
      <w:numFmt w:val="bullet"/>
      <w:lvlText w:val=""/>
      <w:lvlJc w:val="left"/>
      <w:pPr>
        <w:tabs>
          <w:tab w:val="num" w:pos="4320"/>
        </w:tabs>
        <w:ind w:left="4320" w:hanging="360"/>
      </w:pPr>
      <w:rPr>
        <w:rFonts w:ascii="Wingdings" w:hAnsi="Wingdings" w:hint="default"/>
      </w:rPr>
    </w:lvl>
    <w:lvl w:ilvl="6" w:tplc="68948CBA" w:tentative="1">
      <w:start w:val="1"/>
      <w:numFmt w:val="bullet"/>
      <w:lvlText w:val=""/>
      <w:lvlJc w:val="left"/>
      <w:pPr>
        <w:tabs>
          <w:tab w:val="num" w:pos="5040"/>
        </w:tabs>
        <w:ind w:left="5040" w:hanging="360"/>
      </w:pPr>
      <w:rPr>
        <w:rFonts w:ascii="Wingdings" w:hAnsi="Wingdings" w:hint="default"/>
      </w:rPr>
    </w:lvl>
    <w:lvl w:ilvl="7" w:tplc="3A540BC2" w:tentative="1">
      <w:start w:val="1"/>
      <w:numFmt w:val="bullet"/>
      <w:lvlText w:val=""/>
      <w:lvlJc w:val="left"/>
      <w:pPr>
        <w:tabs>
          <w:tab w:val="num" w:pos="5760"/>
        </w:tabs>
        <w:ind w:left="5760" w:hanging="360"/>
      </w:pPr>
      <w:rPr>
        <w:rFonts w:ascii="Wingdings" w:hAnsi="Wingdings" w:hint="default"/>
      </w:rPr>
    </w:lvl>
    <w:lvl w:ilvl="8" w:tplc="91AC149C"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1"/>
  </w:num>
  <w:num w:numId="3">
    <w:abstractNumId w:val="3"/>
  </w:num>
  <w:num w:numId="4">
    <w:abstractNumId w:val="4"/>
  </w:num>
  <w:num w:numId="5">
    <w:abstractNumId w:val="0"/>
  </w:num>
  <w:num w:numId="6">
    <w:abstractNumId w:val="6"/>
  </w:num>
  <w:num w:numId="7">
    <w:abstractNumId w:val="2"/>
  </w:num>
  <w:num w:numId="8">
    <w:abstractNumId w:val="10"/>
  </w:num>
  <w:num w:numId="9">
    <w:abstractNumId w:val="14"/>
  </w:num>
  <w:num w:numId="10">
    <w:abstractNumId w:val="15"/>
  </w:num>
  <w:num w:numId="11">
    <w:abstractNumId w:val="16"/>
  </w:num>
  <w:num w:numId="12">
    <w:abstractNumId w:val="7"/>
  </w:num>
  <w:num w:numId="13">
    <w:abstractNumId w:val="13"/>
  </w:num>
  <w:num w:numId="14">
    <w:abstractNumId w:val="8"/>
  </w:num>
  <w:num w:numId="15">
    <w:abstractNumId w:val="5"/>
  </w:num>
  <w:num w:numId="16">
    <w:abstractNumId w:val="1"/>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1459"/>
    <w:rsid w:val="000014AC"/>
    <w:rsid w:val="000029AC"/>
    <w:rsid w:val="00002B64"/>
    <w:rsid w:val="00003550"/>
    <w:rsid w:val="000079EB"/>
    <w:rsid w:val="00011C5F"/>
    <w:rsid w:val="00015203"/>
    <w:rsid w:val="00016630"/>
    <w:rsid w:val="000173EA"/>
    <w:rsid w:val="00023B55"/>
    <w:rsid w:val="00024640"/>
    <w:rsid w:val="000248B0"/>
    <w:rsid w:val="00037C1D"/>
    <w:rsid w:val="0005011B"/>
    <w:rsid w:val="00055B9A"/>
    <w:rsid w:val="00060A57"/>
    <w:rsid w:val="00061F16"/>
    <w:rsid w:val="000644EB"/>
    <w:rsid w:val="00064CE0"/>
    <w:rsid w:val="00065ABE"/>
    <w:rsid w:val="0008013C"/>
    <w:rsid w:val="000822BF"/>
    <w:rsid w:val="00082B2A"/>
    <w:rsid w:val="00082BBD"/>
    <w:rsid w:val="000921DB"/>
    <w:rsid w:val="000927EC"/>
    <w:rsid w:val="00096703"/>
    <w:rsid w:val="000A42AE"/>
    <w:rsid w:val="000A594D"/>
    <w:rsid w:val="000A626A"/>
    <w:rsid w:val="000A6F89"/>
    <w:rsid w:val="000A7107"/>
    <w:rsid w:val="000B5699"/>
    <w:rsid w:val="000D1306"/>
    <w:rsid w:val="000D15DB"/>
    <w:rsid w:val="000E1E36"/>
    <w:rsid w:val="000E6606"/>
    <w:rsid w:val="000F6D3B"/>
    <w:rsid w:val="000F718F"/>
    <w:rsid w:val="000F7276"/>
    <w:rsid w:val="001013C7"/>
    <w:rsid w:val="00106831"/>
    <w:rsid w:val="00110834"/>
    <w:rsid w:val="00111CF6"/>
    <w:rsid w:val="00113D61"/>
    <w:rsid w:val="00115380"/>
    <w:rsid w:val="0011751C"/>
    <w:rsid w:val="00122596"/>
    <w:rsid w:val="001227D1"/>
    <w:rsid w:val="00133B25"/>
    <w:rsid w:val="00147EDE"/>
    <w:rsid w:val="00154220"/>
    <w:rsid w:val="001602CD"/>
    <w:rsid w:val="00161459"/>
    <w:rsid w:val="001645A8"/>
    <w:rsid w:val="00171395"/>
    <w:rsid w:val="00171E81"/>
    <w:rsid w:val="001769D4"/>
    <w:rsid w:val="0018270D"/>
    <w:rsid w:val="00182B5B"/>
    <w:rsid w:val="00191E86"/>
    <w:rsid w:val="00196BFB"/>
    <w:rsid w:val="001A67FA"/>
    <w:rsid w:val="001B3058"/>
    <w:rsid w:val="001C2E28"/>
    <w:rsid w:val="001C2F26"/>
    <w:rsid w:val="001D1E20"/>
    <w:rsid w:val="001D5F2A"/>
    <w:rsid w:val="001E0303"/>
    <w:rsid w:val="001E7148"/>
    <w:rsid w:val="001E7771"/>
    <w:rsid w:val="001E7937"/>
    <w:rsid w:val="001F1CC3"/>
    <w:rsid w:val="00210E22"/>
    <w:rsid w:val="0021381E"/>
    <w:rsid w:val="002144A5"/>
    <w:rsid w:val="0021574B"/>
    <w:rsid w:val="00215955"/>
    <w:rsid w:val="00222744"/>
    <w:rsid w:val="002311F7"/>
    <w:rsid w:val="002352BD"/>
    <w:rsid w:val="002416D4"/>
    <w:rsid w:val="00242437"/>
    <w:rsid w:val="00245E97"/>
    <w:rsid w:val="00260CC5"/>
    <w:rsid w:val="00261F0D"/>
    <w:rsid w:val="002665D4"/>
    <w:rsid w:val="002675F9"/>
    <w:rsid w:val="00270ED2"/>
    <w:rsid w:val="00285C98"/>
    <w:rsid w:val="00291E02"/>
    <w:rsid w:val="0029398D"/>
    <w:rsid w:val="002A2BFA"/>
    <w:rsid w:val="002A39C5"/>
    <w:rsid w:val="002A42C2"/>
    <w:rsid w:val="002A68DD"/>
    <w:rsid w:val="002C124D"/>
    <w:rsid w:val="002C13DA"/>
    <w:rsid w:val="002C31FB"/>
    <w:rsid w:val="002C46C0"/>
    <w:rsid w:val="002D26CF"/>
    <w:rsid w:val="002E3EAE"/>
    <w:rsid w:val="002E3EF8"/>
    <w:rsid w:val="002E6D73"/>
    <w:rsid w:val="002F7FBB"/>
    <w:rsid w:val="00305EE3"/>
    <w:rsid w:val="00310E6F"/>
    <w:rsid w:val="00312CE2"/>
    <w:rsid w:val="00322062"/>
    <w:rsid w:val="00322903"/>
    <w:rsid w:val="00327F68"/>
    <w:rsid w:val="00343A3D"/>
    <w:rsid w:val="00343B63"/>
    <w:rsid w:val="00354203"/>
    <w:rsid w:val="00365530"/>
    <w:rsid w:val="00367E3C"/>
    <w:rsid w:val="003711D5"/>
    <w:rsid w:val="00375960"/>
    <w:rsid w:val="003834E0"/>
    <w:rsid w:val="0038454D"/>
    <w:rsid w:val="003860C6"/>
    <w:rsid w:val="003940E6"/>
    <w:rsid w:val="003A3081"/>
    <w:rsid w:val="003A471B"/>
    <w:rsid w:val="003A785A"/>
    <w:rsid w:val="003B5B05"/>
    <w:rsid w:val="003B737C"/>
    <w:rsid w:val="003C097F"/>
    <w:rsid w:val="003C2427"/>
    <w:rsid w:val="003D3FCB"/>
    <w:rsid w:val="003D5011"/>
    <w:rsid w:val="003E0FB3"/>
    <w:rsid w:val="003E3D6C"/>
    <w:rsid w:val="003E4C90"/>
    <w:rsid w:val="003F0876"/>
    <w:rsid w:val="003F2CC4"/>
    <w:rsid w:val="0040180F"/>
    <w:rsid w:val="00404564"/>
    <w:rsid w:val="00404CE0"/>
    <w:rsid w:val="004058F7"/>
    <w:rsid w:val="00406ABF"/>
    <w:rsid w:val="004072F4"/>
    <w:rsid w:val="00414BBF"/>
    <w:rsid w:val="004155DA"/>
    <w:rsid w:val="0042226B"/>
    <w:rsid w:val="004244CE"/>
    <w:rsid w:val="00425593"/>
    <w:rsid w:val="004468F7"/>
    <w:rsid w:val="0045159C"/>
    <w:rsid w:val="004626F5"/>
    <w:rsid w:val="004650A1"/>
    <w:rsid w:val="00465BC4"/>
    <w:rsid w:val="004825BB"/>
    <w:rsid w:val="00483742"/>
    <w:rsid w:val="00483A2D"/>
    <w:rsid w:val="00492C7D"/>
    <w:rsid w:val="0049587D"/>
    <w:rsid w:val="004A3D29"/>
    <w:rsid w:val="004A7569"/>
    <w:rsid w:val="004B68BA"/>
    <w:rsid w:val="004C1693"/>
    <w:rsid w:val="004C6172"/>
    <w:rsid w:val="004C6954"/>
    <w:rsid w:val="004D0C8F"/>
    <w:rsid w:val="004D2E60"/>
    <w:rsid w:val="004D3E44"/>
    <w:rsid w:val="004D7AD9"/>
    <w:rsid w:val="004E22F3"/>
    <w:rsid w:val="004E6648"/>
    <w:rsid w:val="004E7597"/>
    <w:rsid w:val="004F3851"/>
    <w:rsid w:val="004F684F"/>
    <w:rsid w:val="004F6884"/>
    <w:rsid w:val="00503AB1"/>
    <w:rsid w:val="005069DB"/>
    <w:rsid w:val="00515EA4"/>
    <w:rsid w:val="0051720D"/>
    <w:rsid w:val="00517866"/>
    <w:rsid w:val="0052008A"/>
    <w:rsid w:val="00520944"/>
    <w:rsid w:val="0052131A"/>
    <w:rsid w:val="00524C12"/>
    <w:rsid w:val="00533153"/>
    <w:rsid w:val="005335AC"/>
    <w:rsid w:val="00534D82"/>
    <w:rsid w:val="00535A0C"/>
    <w:rsid w:val="0053672C"/>
    <w:rsid w:val="00542D99"/>
    <w:rsid w:val="00552A7D"/>
    <w:rsid w:val="00552F68"/>
    <w:rsid w:val="005530F5"/>
    <w:rsid w:val="00560323"/>
    <w:rsid w:val="00562BA3"/>
    <w:rsid w:val="00565282"/>
    <w:rsid w:val="00567C11"/>
    <w:rsid w:val="005928AC"/>
    <w:rsid w:val="00593F29"/>
    <w:rsid w:val="005A4371"/>
    <w:rsid w:val="005B12DF"/>
    <w:rsid w:val="005B2EAE"/>
    <w:rsid w:val="005B3ECB"/>
    <w:rsid w:val="005D35F8"/>
    <w:rsid w:val="005D7A40"/>
    <w:rsid w:val="005E2712"/>
    <w:rsid w:val="005F1ADB"/>
    <w:rsid w:val="005F2B0C"/>
    <w:rsid w:val="005F3F93"/>
    <w:rsid w:val="005F6E97"/>
    <w:rsid w:val="00600145"/>
    <w:rsid w:val="00601970"/>
    <w:rsid w:val="0060340D"/>
    <w:rsid w:val="00616397"/>
    <w:rsid w:val="00616E40"/>
    <w:rsid w:val="00616F40"/>
    <w:rsid w:val="0061795F"/>
    <w:rsid w:val="0062354F"/>
    <w:rsid w:val="0062767E"/>
    <w:rsid w:val="00631766"/>
    <w:rsid w:val="006348A8"/>
    <w:rsid w:val="00642AC0"/>
    <w:rsid w:val="0064389B"/>
    <w:rsid w:val="0064791A"/>
    <w:rsid w:val="00655CA4"/>
    <w:rsid w:val="0066691A"/>
    <w:rsid w:val="00667602"/>
    <w:rsid w:val="006763C2"/>
    <w:rsid w:val="00677214"/>
    <w:rsid w:val="00677B80"/>
    <w:rsid w:val="006811AA"/>
    <w:rsid w:val="006870AE"/>
    <w:rsid w:val="00694D40"/>
    <w:rsid w:val="006A27D7"/>
    <w:rsid w:val="006A66BE"/>
    <w:rsid w:val="006B4098"/>
    <w:rsid w:val="006C011E"/>
    <w:rsid w:val="006C38C3"/>
    <w:rsid w:val="006C4A03"/>
    <w:rsid w:val="006E2453"/>
    <w:rsid w:val="006E3447"/>
    <w:rsid w:val="006E53DE"/>
    <w:rsid w:val="006E734B"/>
    <w:rsid w:val="006F283C"/>
    <w:rsid w:val="006F4042"/>
    <w:rsid w:val="006F755C"/>
    <w:rsid w:val="007020E8"/>
    <w:rsid w:val="00702EE3"/>
    <w:rsid w:val="007047DB"/>
    <w:rsid w:val="00712177"/>
    <w:rsid w:val="00720041"/>
    <w:rsid w:val="0072109C"/>
    <w:rsid w:val="0073312D"/>
    <w:rsid w:val="00735092"/>
    <w:rsid w:val="00736DFC"/>
    <w:rsid w:val="00740E26"/>
    <w:rsid w:val="00741952"/>
    <w:rsid w:val="007451F5"/>
    <w:rsid w:val="00746B6F"/>
    <w:rsid w:val="0075209D"/>
    <w:rsid w:val="007568BD"/>
    <w:rsid w:val="00761DB4"/>
    <w:rsid w:val="007652A5"/>
    <w:rsid w:val="007708ED"/>
    <w:rsid w:val="0077159F"/>
    <w:rsid w:val="00776175"/>
    <w:rsid w:val="0078008D"/>
    <w:rsid w:val="00780295"/>
    <w:rsid w:val="00781530"/>
    <w:rsid w:val="00785AED"/>
    <w:rsid w:val="007940C8"/>
    <w:rsid w:val="007A5196"/>
    <w:rsid w:val="007B084F"/>
    <w:rsid w:val="007C2482"/>
    <w:rsid w:val="007C619F"/>
    <w:rsid w:val="007D3A90"/>
    <w:rsid w:val="007D3C01"/>
    <w:rsid w:val="007D48E8"/>
    <w:rsid w:val="007D651E"/>
    <w:rsid w:val="007E4B61"/>
    <w:rsid w:val="007F2E94"/>
    <w:rsid w:val="0080067A"/>
    <w:rsid w:val="00805FDE"/>
    <w:rsid w:val="008138AC"/>
    <w:rsid w:val="008400CC"/>
    <w:rsid w:val="00843CE3"/>
    <w:rsid w:val="00844CFC"/>
    <w:rsid w:val="00847CA1"/>
    <w:rsid w:val="00851D0F"/>
    <w:rsid w:val="008548F0"/>
    <w:rsid w:val="00855BDF"/>
    <w:rsid w:val="00855FEC"/>
    <w:rsid w:val="00857327"/>
    <w:rsid w:val="008610B9"/>
    <w:rsid w:val="008650F0"/>
    <w:rsid w:val="00870C0C"/>
    <w:rsid w:val="00870F88"/>
    <w:rsid w:val="00885E68"/>
    <w:rsid w:val="008907C9"/>
    <w:rsid w:val="00892B94"/>
    <w:rsid w:val="008A24FA"/>
    <w:rsid w:val="008A6AB8"/>
    <w:rsid w:val="008B0D06"/>
    <w:rsid w:val="008B2EA5"/>
    <w:rsid w:val="008B453B"/>
    <w:rsid w:val="008B55D5"/>
    <w:rsid w:val="008D3D7E"/>
    <w:rsid w:val="008D65A8"/>
    <w:rsid w:val="008E6E2B"/>
    <w:rsid w:val="008F5E83"/>
    <w:rsid w:val="008F7319"/>
    <w:rsid w:val="009108E0"/>
    <w:rsid w:val="0091604F"/>
    <w:rsid w:val="009202F9"/>
    <w:rsid w:val="009264E4"/>
    <w:rsid w:val="00932279"/>
    <w:rsid w:val="00935F9A"/>
    <w:rsid w:val="00936441"/>
    <w:rsid w:val="00940CBE"/>
    <w:rsid w:val="00943CE2"/>
    <w:rsid w:val="00944E3C"/>
    <w:rsid w:val="0094685A"/>
    <w:rsid w:val="00946FB3"/>
    <w:rsid w:val="00954DB3"/>
    <w:rsid w:val="009568AE"/>
    <w:rsid w:val="00956D6C"/>
    <w:rsid w:val="00956F4F"/>
    <w:rsid w:val="00957E06"/>
    <w:rsid w:val="00964049"/>
    <w:rsid w:val="00977EFB"/>
    <w:rsid w:val="00982718"/>
    <w:rsid w:val="00995A95"/>
    <w:rsid w:val="009970A5"/>
    <w:rsid w:val="00997C01"/>
    <w:rsid w:val="009B0034"/>
    <w:rsid w:val="009B19DB"/>
    <w:rsid w:val="009C14CD"/>
    <w:rsid w:val="009C5F76"/>
    <w:rsid w:val="009D0E75"/>
    <w:rsid w:val="009D4A68"/>
    <w:rsid w:val="009E4492"/>
    <w:rsid w:val="009E45FE"/>
    <w:rsid w:val="009F1B7B"/>
    <w:rsid w:val="009F318A"/>
    <w:rsid w:val="009F56A0"/>
    <w:rsid w:val="009F6C54"/>
    <w:rsid w:val="00A062D1"/>
    <w:rsid w:val="00A3175B"/>
    <w:rsid w:val="00A3476C"/>
    <w:rsid w:val="00A37758"/>
    <w:rsid w:val="00A37EDD"/>
    <w:rsid w:val="00A40AE7"/>
    <w:rsid w:val="00A51C7B"/>
    <w:rsid w:val="00A54CE6"/>
    <w:rsid w:val="00A61B99"/>
    <w:rsid w:val="00A6200F"/>
    <w:rsid w:val="00A7050F"/>
    <w:rsid w:val="00A744CF"/>
    <w:rsid w:val="00A86BE3"/>
    <w:rsid w:val="00AB11B7"/>
    <w:rsid w:val="00AC04B8"/>
    <w:rsid w:val="00AC1DF2"/>
    <w:rsid w:val="00AC52C1"/>
    <w:rsid w:val="00AC68C7"/>
    <w:rsid w:val="00AD5C99"/>
    <w:rsid w:val="00AE132A"/>
    <w:rsid w:val="00AE405F"/>
    <w:rsid w:val="00AE4CEA"/>
    <w:rsid w:val="00AE60B1"/>
    <w:rsid w:val="00AF4951"/>
    <w:rsid w:val="00AF4B6A"/>
    <w:rsid w:val="00B04CD3"/>
    <w:rsid w:val="00B1261A"/>
    <w:rsid w:val="00B1614F"/>
    <w:rsid w:val="00B2093A"/>
    <w:rsid w:val="00B22B90"/>
    <w:rsid w:val="00B24BD8"/>
    <w:rsid w:val="00B3205A"/>
    <w:rsid w:val="00B32EEB"/>
    <w:rsid w:val="00B34814"/>
    <w:rsid w:val="00B358D2"/>
    <w:rsid w:val="00B3698B"/>
    <w:rsid w:val="00B441B1"/>
    <w:rsid w:val="00B4571E"/>
    <w:rsid w:val="00B55CA7"/>
    <w:rsid w:val="00B657DE"/>
    <w:rsid w:val="00B67CFA"/>
    <w:rsid w:val="00B72C74"/>
    <w:rsid w:val="00B74CB1"/>
    <w:rsid w:val="00B763CC"/>
    <w:rsid w:val="00B80EBE"/>
    <w:rsid w:val="00B83B01"/>
    <w:rsid w:val="00B94EA4"/>
    <w:rsid w:val="00B97CB4"/>
    <w:rsid w:val="00BA32C6"/>
    <w:rsid w:val="00BB1027"/>
    <w:rsid w:val="00BB5577"/>
    <w:rsid w:val="00BB768E"/>
    <w:rsid w:val="00BC1A9F"/>
    <w:rsid w:val="00BD1075"/>
    <w:rsid w:val="00BD1183"/>
    <w:rsid w:val="00BD44CE"/>
    <w:rsid w:val="00BE1335"/>
    <w:rsid w:val="00BE19F7"/>
    <w:rsid w:val="00BE1BCF"/>
    <w:rsid w:val="00BE5343"/>
    <w:rsid w:val="00BE6A26"/>
    <w:rsid w:val="00BF03DF"/>
    <w:rsid w:val="00BF1748"/>
    <w:rsid w:val="00BF4FB9"/>
    <w:rsid w:val="00C00FFF"/>
    <w:rsid w:val="00C10839"/>
    <w:rsid w:val="00C11002"/>
    <w:rsid w:val="00C17F84"/>
    <w:rsid w:val="00C2352F"/>
    <w:rsid w:val="00C41A05"/>
    <w:rsid w:val="00C438A2"/>
    <w:rsid w:val="00C4627E"/>
    <w:rsid w:val="00C51C30"/>
    <w:rsid w:val="00C565E6"/>
    <w:rsid w:val="00C63995"/>
    <w:rsid w:val="00C73203"/>
    <w:rsid w:val="00C73498"/>
    <w:rsid w:val="00C75788"/>
    <w:rsid w:val="00C762BD"/>
    <w:rsid w:val="00C80EE0"/>
    <w:rsid w:val="00C82182"/>
    <w:rsid w:val="00C85769"/>
    <w:rsid w:val="00C85E67"/>
    <w:rsid w:val="00C937E5"/>
    <w:rsid w:val="00C93DDF"/>
    <w:rsid w:val="00C94A50"/>
    <w:rsid w:val="00C96A7E"/>
    <w:rsid w:val="00C9712C"/>
    <w:rsid w:val="00C973BA"/>
    <w:rsid w:val="00CA244F"/>
    <w:rsid w:val="00CA37E2"/>
    <w:rsid w:val="00CB5E33"/>
    <w:rsid w:val="00CC2167"/>
    <w:rsid w:val="00CC79DD"/>
    <w:rsid w:val="00CD25D3"/>
    <w:rsid w:val="00CD4A34"/>
    <w:rsid w:val="00CE4602"/>
    <w:rsid w:val="00CE642A"/>
    <w:rsid w:val="00CE6560"/>
    <w:rsid w:val="00CF103E"/>
    <w:rsid w:val="00CF22B5"/>
    <w:rsid w:val="00CF76B2"/>
    <w:rsid w:val="00D02973"/>
    <w:rsid w:val="00D036D1"/>
    <w:rsid w:val="00D06BB5"/>
    <w:rsid w:val="00D150E8"/>
    <w:rsid w:val="00D20D1E"/>
    <w:rsid w:val="00D27B4B"/>
    <w:rsid w:val="00D33DE0"/>
    <w:rsid w:val="00D346AB"/>
    <w:rsid w:val="00D37518"/>
    <w:rsid w:val="00D53C11"/>
    <w:rsid w:val="00D5468E"/>
    <w:rsid w:val="00D62534"/>
    <w:rsid w:val="00D6380E"/>
    <w:rsid w:val="00D70E92"/>
    <w:rsid w:val="00D764D9"/>
    <w:rsid w:val="00D85DB5"/>
    <w:rsid w:val="00D91179"/>
    <w:rsid w:val="00D930E1"/>
    <w:rsid w:val="00DA3DDF"/>
    <w:rsid w:val="00DA4B69"/>
    <w:rsid w:val="00DA6BBF"/>
    <w:rsid w:val="00DA7037"/>
    <w:rsid w:val="00DB5886"/>
    <w:rsid w:val="00DB704D"/>
    <w:rsid w:val="00DC164C"/>
    <w:rsid w:val="00DC1C6C"/>
    <w:rsid w:val="00DC481C"/>
    <w:rsid w:val="00DC6CF3"/>
    <w:rsid w:val="00DD267A"/>
    <w:rsid w:val="00DF082A"/>
    <w:rsid w:val="00DF5EF0"/>
    <w:rsid w:val="00E0002C"/>
    <w:rsid w:val="00E00831"/>
    <w:rsid w:val="00E2384D"/>
    <w:rsid w:val="00E34E07"/>
    <w:rsid w:val="00E35558"/>
    <w:rsid w:val="00E35906"/>
    <w:rsid w:val="00E40597"/>
    <w:rsid w:val="00E46612"/>
    <w:rsid w:val="00E472DA"/>
    <w:rsid w:val="00E5244C"/>
    <w:rsid w:val="00E52F25"/>
    <w:rsid w:val="00E621FF"/>
    <w:rsid w:val="00E62B62"/>
    <w:rsid w:val="00E63104"/>
    <w:rsid w:val="00E76B9A"/>
    <w:rsid w:val="00E80FEC"/>
    <w:rsid w:val="00E8204C"/>
    <w:rsid w:val="00E8250B"/>
    <w:rsid w:val="00E82F2A"/>
    <w:rsid w:val="00E87D41"/>
    <w:rsid w:val="00E906B8"/>
    <w:rsid w:val="00E910C0"/>
    <w:rsid w:val="00E949EB"/>
    <w:rsid w:val="00E95B2F"/>
    <w:rsid w:val="00EA7E71"/>
    <w:rsid w:val="00EC2FA8"/>
    <w:rsid w:val="00EC70C3"/>
    <w:rsid w:val="00EE0E45"/>
    <w:rsid w:val="00EE14E0"/>
    <w:rsid w:val="00EE160E"/>
    <w:rsid w:val="00EE1936"/>
    <w:rsid w:val="00EE2DF2"/>
    <w:rsid w:val="00EE3E79"/>
    <w:rsid w:val="00EE4B3B"/>
    <w:rsid w:val="00EE6B36"/>
    <w:rsid w:val="00EE7F5B"/>
    <w:rsid w:val="00EF0561"/>
    <w:rsid w:val="00EF39F7"/>
    <w:rsid w:val="00F016DE"/>
    <w:rsid w:val="00F01CE9"/>
    <w:rsid w:val="00F04AD1"/>
    <w:rsid w:val="00F075AB"/>
    <w:rsid w:val="00F07D8E"/>
    <w:rsid w:val="00F13819"/>
    <w:rsid w:val="00F20001"/>
    <w:rsid w:val="00F230F4"/>
    <w:rsid w:val="00F37938"/>
    <w:rsid w:val="00F41341"/>
    <w:rsid w:val="00F4234C"/>
    <w:rsid w:val="00F430AB"/>
    <w:rsid w:val="00F52766"/>
    <w:rsid w:val="00F5292F"/>
    <w:rsid w:val="00F540B2"/>
    <w:rsid w:val="00F541A4"/>
    <w:rsid w:val="00F5773F"/>
    <w:rsid w:val="00F60F05"/>
    <w:rsid w:val="00F637EF"/>
    <w:rsid w:val="00F64EDC"/>
    <w:rsid w:val="00F73BF0"/>
    <w:rsid w:val="00F800FE"/>
    <w:rsid w:val="00F81833"/>
    <w:rsid w:val="00F8370E"/>
    <w:rsid w:val="00F84E82"/>
    <w:rsid w:val="00F94EC9"/>
    <w:rsid w:val="00F956A2"/>
    <w:rsid w:val="00FA2ED8"/>
    <w:rsid w:val="00FA7D70"/>
    <w:rsid w:val="00FB062C"/>
    <w:rsid w:val="00FB200F"/>
    <w:rsid w:val="00FB2E49"/>
    <w:rsid w:val="00FB4821"/>
    <w:rsid w:val="00FC0DED"/>
    <w:rsid w:val="00FC4704"/>
    <w:rsid w:val="00FD390A"/>
    <w:rsid w:val="00FD7D7C"/>
    <w:rsid w:val="00FE314B"/>
    <w:rsid w:val="00FE5A4A"/>
    <w:rsid w:val="00FF4940"/>
    <w:rsid w:val="00FF7C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BE2C9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1459"/>
    <w:pPr>
      <w:spacing w:line="360" w:lineRule="auto"/>
      <w:jc w:val="both"/>
    </w:pPr>
    <w:rPr>
      <w:rFonts w:ascii="Arial Narrow" w:hAnsi="Arial Narrow"/>
      <w:color w:val="595959" w:themeColor="text1" w:themeTint="A6"/>
      <w:sz w:val="20"/>
    </w:rPr>
  </w:style>
  <w:style w:type="paragraph" w:styleId="Heading1">
    <w:name w:val="heading 1"/>
    <w:next w:val="Normal"/>
    <w:link w:val="Heading1Char"/>
    <w:autoRedefine/>
    <w:uiPriority w:val="9"/>
    <w:qFormat/>
    <w:rsid w:val="00B4571E"/>
    <w:pPr>
      <w:keepNext/>
      <w:keepLines/>
      <w:pBdr>
        <w:top w:val="nil"/>
        <w:left w:val="nil"/>
        <w:bottom w:val="nil"/>
        <w:right w:val="nil"/>
        <w:between w:val="nil"/>
        <w:bar w:val="nil"/>
      </w:pBdr>
      <w:spacing w:before="480" w:line="360" w:lineRule="auto"/>
      <w:outlineLvl w:val="0"/>
    </w:pPr>
    <w:rPr>
      <w:rFonts w:ascii="Arial Narrow" w:eastAsiaTheme="majorEastAsia" w:hAnsi="Arial Narrow" w:cstheme="majorBidi"/>
      <w:b/>
      <w:bCs/>
      <w:color w:val="71AC7A"/>
      <w:sz w:val="36"/>
      <w:szCs w:val="32"/>
      <w:bdr w:val="nil"/>
    </w:rPr>
  </w:style>
  <w:style w:type="paragraph" w:styleId="Heading2">
    <w:name w:val="heading 2"/>
    <w:next w:val="Normal"/>
    <w:link w:val="Heading2Char"/>
    <w:autoRedefine/>
    <w:uiPriority w:val="9"/>
    <w:unhideWhenUsed/>
    <w:qFormat/>
    <w:rsid w:val="005928AC"/>
    <w:pPr>
      <w:keepNext/>
      <w:keepLines/>
      <w:pBdr>
        <w:top w:val="nil"/>
        <w:left w:val="nil"/>
        <w:bottom w:val="nil"/>
        <w:right w:val="nil"/>
        <w:between w:val="nil"/>
        <w:bar w:val="nil"/>
      </w:pBdr>
      <w:spacing w:before="240" w:line="360" w:lineRule="auto"/>
      <w:jc w:val="both"/>
      <w:outlineLvl w:val="1"/>
    </w:pPr>
    <w:rPr>
      <w:rFonts w:ascii="Arial Narrow" w:eastAsiaTheme="majorEastAsia" w:hAnsi="Arial Narrow" w:cstheme="majorBidi"/>
      <w:b/>
      <w:bCs/>
      <w:color w:val="71AC7A"/>
      <w:szCs w:val="26"/>
      <w:bdr w:val="nil"/>
      <w:lang w:val="en-GB"/>
    </w:rPr>
  </w:style>
  <w:style w:type="paragraph" w:styleId="Heading3">
    <w:name w:val="heading 3"/>
    <w:basedOn w:val="Normal"/>
    <w:next w:val="Normal"/>
    <w:link w:val="Heading3Char"/>
    <w:autoRedefine/>
    <w:uiPriority w:val="9"/>
    <w:unhideWhenUsed/>
    <w:qFormat/>
    <w:rsid w:val="00F230F4"/>
    <w:pPr>
      <w:keepNext/>
      <w:keepLines/>
      <w:spacing w:before="200"/>
      <w:outlineLvl w:val="2"/>
    </w:pPr>
    <w:rPr>
      <w:rFonts w:eastAsiaTheme="majorEastAsia" w:cstheme="majorBidi"/>
      <w:b/>
      <w:bCs/>
      <w:color w:val="71AC7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571E"/>
    <w:rPr>
      <w:rFonts w:ascii="Arial Narrow" w:eastAsiaTheme="majorEastAsia" w:hAnsi="Arial Narrow" w:cstheme="majorBidi"/>
      <w:b/>
      <w:bCs/>
      <w:color w:val="71AC7A"/>
      <w:sz w:val="36"/>
      <w:szCs w:val="32"/>
      <w:bdr w:val="nil"/>
    </w:rPr>
  </w:style>
  <w:style w:type="character" w:customStyle="1" w:styleId="Heading2Char">
    <w:name w:val="Heading 2 Char"/>
    <w:basedOn w:val="DefaultParagraphFont"/>
    <w:link w:val="Heading2"/>
    <w:uiPriority w:val="9"/>
    <w:rsid w:val="005928AC"/>
    <w:rPr>
      <w:rFonts w:ascii="Arial Narrow" w:eastAsiaTheme="majorEastAsia" w:hAnsi="Arial Narrow" w:cstheme="majorBidi"/>
      <w:b/>
      <w:bCs/>
      <w:color w:val="71AC7A"/>
      <w:szCs w:val="26"/>
      <w:bdr w:val="nil"/>
      <w:lang w:val="en-GB"/>
    </w:rPr>
  </w:style>
  <w:style w:type="paragraph" w:styleId="ListParagraph">
    <w:name w:val="List Paragraph"/>
    <w:basedOn w:val="Normal"/>
    <w:qFormat/>
    <w:rsid w:val="00161459"/>
    <w:pPr>
      <w:ind w:left="720"/>
      <w:contextualSpacing/>
    </w:pPr>
  </w:style>
  <w:style w:type="paragraph" w:styleId="Header">
    <w:name w:val="header"/>
    <w:basedOn w:val="Normal"/>
    <w:link w:val="HeaderChar"/>
    <w:uiPriority w:val="99"/>
    <w:unhideWhenUsed/>
    <w:rsid w:val="00161459"/>
    <w:pPr>
      <w:tabs>
        <w:tab w:val="center" w:pos="4320"/>
        <w:tab w:val="right" w:pos="8640"/>
      </w:tabs>
      <w:spacing w:line="240" w:lineRule="auto"/>
    </w:pPr>
  </w:style>
  <w:style w:type="character" w:customStyle="1" w:styleId="HeaderChar">
    <w:name w:val="Header Char"/>
    <w:basedOn w:val="DefaultParagraphFont"/>
    <w:link w:val="Header"/>
    <w:uiPriority w:val="99"/>
    <w:rsid w:val="00161459"/>
    <w:rPr>
      <w:rFonts w:ascii="Arial Narrow" w:hAnsi="Arial Narrow"/>
      <w:color w:val="595959" w:themeColor="text1" w:themeTint="A6"/>
      <w:sz w:val="20"/>
    </w:rPr>
  </w:style>
  <w:style w:type="paragraph" w:styleId="Footer">
    <w:name w:val="footer"/>
    <w:basedOn w:val="Normal"/>
    <w:link w:val="FooterChar"/>
    <w:uiPriority w:val="99"/>
    <w:unhideWhenUsed/>
    <w:rsid w:val="00161459"/>
    <w:pPr>
      <w:tabs>
        <w:tab w:val="center" w:pos="4320"/>
        <w:tab w:val="right" w:pos="8640"/>
      </w:tabs>
      <w:spacing w:line="240" w:lineRule="auto"/>
    </w:pPr>
  </w:style>
  <w:style w:type="character" w:customStyle="1" w:styleId="FooterChar">
    <w:name w:val="Footer Char"/>
    <w:basedOn w:val="DefaultParagraphFont"/>
    <w:link w:val="Footer"/>
    <w:uiPriority w:val="99"/>
    <w:rsid w:val="00161459"/>
    <w:rPr>
      <w:rFonts w:ascii="Arial Narrow" w:hAnsi="Arial Narrow"/>
      <w:color w:val="595959" w:themeColor="text1" w:themeTint="A6"/>
      <w:sz w:val="20"/>
    </w:rPr>
  </w:style>
  <w:style w:type="character" w:styleId="PageNumber">
    <w:name w:val="page number"/>
    <w:basedOn w:val="DefaultParagraphFont"/>
    <w:uiPriority w:val="99"/>
    <w:semiHidden/>
    <w:unhideWhenUsed/>
    <w:rsid w:val="00161459"/>
  </w:style>
  <w:style w:type="paragraph" w:styleId="FootnoteText">
    <w:name w:val="footnote text"/>
    <w:basedOn w:val="Normal"/>
    <w:link w:val="FootnoteTextChar"/>
    <w:uiPriority w:val="99"/>
    <w:unhideWhenUsed/>
    <w:qFormat/>
    <w:rsid w:val="008D3D7E"/>
    <w:pPr>
      <w:spacing w:line="240" w:lineRule="auto"/>
    </w:pPr>
  </w:style>
  <w:style w:type="character" w:customStyle="1" w:styleId="FootnoteTextChar">
    <w:name w:val="Footnote Text Char"/>
    <w:basedOn w:val="DefaultParagraphFont"/>
    <w:link w:val="FootnoteText"/>
    <w:uiPriority w:val="99"/>
    <w:rsid w:val="008D3D7E"/>
    <w:rPr>
      <w:rFonts w:ascii="Arial Narrow" w:hAnsi="Arial Narrow"/>
      <w:color w:val="595959" w:themeColor="text1" w:themeTint="A6"/>
      <w:sz w:val="20"/>
    </w:rPr>
  </w:style>
  <w:style w:type="character" w:styleId="FootnoteReference">
    <w:name w:val="footnote reference"/>
    <w:basedOn w:val="DefaultParagraphFont"/>
    <w:uiPriority w:val="99"/>
    <w:unhideWhenUsed/>
    <w:rsid w:val="008D3D7E"/>
    <w:rPr>
      <w:vertAlign w:val="superscript"/>
    </w:rPr>
  </w:style>
  <w:style w:type="numbering" w:customStyle="1" w:styleId="List6">
    <w:name w:val="List 6"/>
    <w:basedOn w:val="NoList"/>
    <w:rsid w:val="008D3D7E"/>
    <w:pPr>
      <w:numPr>
        <w:numId w:val="2"/>
      </w:numPr>
    </w:pPr>
  </w:style>
  <w:style w:type="character" w:customStyle="1" w:styleId="Hyperlink1">
    <w:name w:val="Hyperlink.1"/>
    <w:basedOn w:val="DefaultParagraphFont"/>
    <w:rsid w:val="008D3D7E"/>
    <w:rPr>
      <w:color w:val="FFFFFF"/>
      <w:u w:val="none"/>
    </w:rPr>
  </w:style>
  <w:style w:type="paragraph" w:customStyle="1" w:styleId="FreeForm">
    <w:name w:val="Free Form"/>
    <w:rsid w:val="006A27D7"/>
    <w:pPr>
      <w:pBdr>
        <w:top w:val="nil"/>
        <w:left w:val="nil"/>
        <w:bottom w:val="nil"/>
        <w:right w:val="nil"/>
        <w:between w:val="nil"/>
        <w:bar w:val="nil"/>
      </w:pBdr>
    </w:pPr>
    <w:rPr>
      <w:rFonts w:ascii="Helvetica" w:eastAsia="Arial Unicode MS" w:hAnsi="Arial Unicode MS" w:cs="Arial Unicode MS"/>
      <w:color w:val="000000"/>
      <w:bdr w:val="nil"/>
    </w:rPr>
  </w:style>
  <w:style w:type="paragraph" w:customStyle="1" w:styleId="BODYCOPY">
    <w:name w:val="BODY COPY"/>
    <w:rsid w:val="006A27D7"/>
    <w:pPr>
      <w:widowControl w:val="0"/>
      <w:pBdr>
        <w:top w:val="nil"/>
        <w:left w:val="nil"/>
        <w:bottom w:val="nil"/>
        <w:right w:val="nil"/>
        <w:between w:val="nil"/>
        <w:bar w:val="nil"/>
      </w:pBdr>
      <w:suppressAutoHyphens/>
      <w:spacing w:after="240"/>
      <w:ind w:left="2694"/>
    </w:pPr>
    <w:rPr>
      <w:rFonts w:ascii="Arial" w:eastAsia="Arial Unicode MS" w:hAnsi="Arial Unicode MS" w:cs="Arial Unicode MS"/>
      <w:color w:val="6D6E70"/>
      <w:sz w:val="18"/>
      <w:szCs w:val="18"/>
      <w:bdr w:val="nil"/>
    </w:rPr>
  </w:style>
  <w:style w:type="paragraph" w:styleId="NormalWeb">
    <w:name w:val="Normal (Web)"/>
    <w:rsid w:val="006A27D7"/>
    <w:pPr>
      <w:pBdr>
        <w:top w:val="nil"/>
        <w:left w:val="nil"/>
        <w:bottom w:val="nil"/>
        <w:right w:val="nil"/>
        <w:between w:val="nil"/>
        <w:bar w:val="nil"/>
      </w:pBdr>
      <w:spacing w:before="100" w:after="100"/>
    </w:pPr>
    <w:rPr>
      <w:rFonts w:ascii="Times New Roman" w:eastAsia="Arial Unicode MS" w:hAnsi="Arial Unicode MS" w:cs="Arial Unicode MS"/>
      <w:color w:val="000000"/>
      <w:bdr w:val="nil"/>
    </w:rPr>
  </w:style>
  <w:style w:type="character" w:customStyle="1" w:styleId="Hyperlink2">
    <w:name w:val="Hyperlink.2"/>
    <w:basedOn w:val="DefaultParagraphFont"/>
    <w:rsid w:val="006A27D7"/>
    <w:rPr>
      <w:color w:val="FFFFFF"/>
      <w:u w:val="single"/>
    </w:rPr>
  </w:style>
  <w:style w:type="character" w:customStyle="1" w:styleId="Heading3Char">
    <w:name w:val="Heading 3 Char"/>
    <w:basedOn w:val="DefaultParagraphFont"/>
    <w:link w:val="Heading3"/>
    <w:uiPriority w:val="9"/>
    <w:rsid w:val="00F230F4"/>
    <w:rPr>
      <w:rFonts w:ascii="Arial Narrow" w:eastAsiaTheme="majorEastAsia" w:hAnsi="Arial Narrow" w:cstheme="majorBidi"/>
      <w:b/>
      <w:bCs/>
      <w:color w:val="71AC7A"/>
      <w:sz w:val="20"/>
    </w:rPr>
  </w:style>
  <w:style w:type="paragraph" w:styleId="TOCHeading">
    <w:name w:val="TOC Heading"/>
    <w:basedOn w:val="Heading1"/>
    <w:next w:val="Normal"/>
    <w:autoRedefine/>
    <w:uiPriority w:val="39"/>
    <w:unhideWhenUsed/>
    <w:qFormat/>
    <w:rsid w:val="00B4571E"/>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outlineLvl w:val="9"/>
    </w:pPr>
    <w:rPr>
      <w:szCs w:val="28"/>
      <w:bdr w:val="none" w:sz="0" w:space="0" w:color="auto"/>
    </w:rPr>
  </w:style>
  <w:style w:type="paragraph" w:styleId="TOC1">
    <w:name w:val="toc 1"/>
    <w:basedOn w:val="Normal"/>
    <w:next w:val="Normal"/>
    <w:autoRedefine/>
    <w:uiPriority w:val="39"/>
    <w:unhideWhenUsed/>
    <w:qFormat/>
    <w:rsid w:val="0062767E"/>
    <w:pPr>
      <w:spacing w:before="120"/>
      <w:jc w:val="left"/>
    </w:pPr>
    <w:rPr>
      <w:rFonts w:asciiTheme="minorHAnsi" w:hAnsiTheme="minorHAnsi"/>
      <w:b/>
      <w:sz w:val="22"/>
      <w:szCs w:val="22"/>
    </w:rPr>
  </w:style>
  <w:style w:type="paragraph" w:styleId="TOC2">
    <w:name w:val="toc 2"/>
    <w:basedOn w:val="Normal"/>
    <w:next w:val="Normal"/>
    <w:autoRedefine/>
    <w:uiPriority w:val="39"/>
    <w:unhideWhenUsed/>
    <w:qFormat/>
    <w:rsid w:val="0062767E"/>
    <w:pPr>
      <w:ind w:left="200"/>
      <w:jc w:val="left"/>
    </w:pPr>
    <w:rPr>
      <w:rFonts w:asciiTheme="minorHAnsi" w:hAnsiTheme="minorHAnsi"/>
      <w:i/>
      <w:sz w:val="22"/>
      <w:szCs w:val="22"/>
    </w:rPr>
  </w:style>
  <w:style w:type="paragraph" w:styleId="TOC3">
    <w:name w:val="toc 3"/>
    <w:basedOn w:val="Normal"/>
    <w:next w:val="Normal"/>
    <w:autoRedefine/>
    <w:uiPriority w:val="39"/>
    <w:unhideWhenUsed/>
    <w:qFormat/>
    <w:rsid w:val="0062767E"/>
    <w:pPr>
      <w:ind w:left="400"/>
      <w:jc w:val="left"/>
    </w:pPr>
    <w:rPr>
      <w:rFonts w:asciiTheme="minorHAnsi" w:hAnsiTheme="minorHAnsi"/>
      <w:sz w:val="22"/>
      <w:szCs w:val="22"/>
    </w:rPr>
  </w:style>
  <w:style w:type="paragraph" w:styleId="BalloonText">
    <w:name w:val="Balloon Text"/>
    <w:basedOn w:val="Normal"/>
    <w:link w:val="BalloonTextChar"/>
    <w:uiPriority w:val="99"/>
    <w:semiHidden/>
    <w:unhideWhenUsed/>
    <w:rsid w:val="0062767E"/>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767E"/>
    <w:rPr>
      <w:rFonts w:ascii="Lucida Grande" w:hAnsi="Lucida Grande" w:cs="Lucida Grande"/>
      <w:color w:val="595959" w:themeColor="text1" w:themeTint="A6"/>
      <w:sz w:val="18"/>
      <w:szCs w:val="18"/>
    </w:rPr>
  </w:style>
  <w:style w:type="paragraph" w:styleId="TOC4">
    <w:name w:val="toc 4"/>
    <w:basedOn w:val="Normal"/>
    <w:next w:val="Normal"/>
    <w:autoRedefine/>
    <w:uiPriority w:val="39"/>
    <w:semiHidden/>
    <w:unhideWhenUsed/>
    <w:rsid w:val="0062767E"/>
    <w:pPr>
      <w:ind w:left="600"/>
      <w:jc w:val="left"/>
    </w:pPr>
    <w:rPr>
      <w:rFonts w:asciiTheme="minorHAnsi" w:hAnsiTheme="minorHAnsi"/>
      <w:szCs w:val="20"/>
    </w:rPr>
  </w:style>
  <w:style w:type="paragraph" w:styleId="TOC5">
    <w:name w:val="toc 5"/>
    <w:basedOn w:val="Normal"/>
    <w:next w:val="Normal"/>
    <w:autoRedefine/>
    <w:uiPriority w:val="39"/>
    <w:semiHidden/>
    <w:unhideWhenUsed/>
    <w:rsid w:val="0062767E"/>
    <w:pPr>
      <w:ind w:left="800"/>
      <w:jc w:val="left"/>
    </w:pPr>
    <w:rPr>
      <w:rFonts w:asciiTheme="minorHAnsi" w:hAnsiTheme="minorHAnsi"/>
      <w:szCs w:val="20"/>
    </w:rPr>
  </w:style>
  <w:style w:type="paragraph" w:styleId="TOC6">
    <w:name w:val="toc 6"/>
    <w:basedOn w:val="Normal"/>
    <w:next w:val="Normal"/>
    <w:autoRedefine/>
    <w:uiPriority w:val="39"/>
    <w:semiHidden/>
    <w:unhideWhenUsed/>
    <w:rsid w:val="0062767E"/>
    <w:pPr>
      <w:ind w:left="1000"/>
      <w:jc w:val="left"/>
    </w:pPr>
    <w:rPr>
      <w:rFonts w:asciiTheme="minorHAnsi" w:hAnsiTheme="minorHAnsi"/>
      <w:szCs w:val="20"/>
    </w:rPr>
  </w:style>
  <w:style w:type="paragraph" w:styleId="TOC7">
    <w:name w:val="toc 7"/>
    <w:basedOn w:val="Normal"/>
    <w:next w:val="Normal"/>
    <w:autoRedefine/>
    <w:uiPriority w:val="39"/>
    <w:semiHidden/>
    <w:unhideWhenUsed/>
    <w:rsid w:val="0062767E"/>
    <w:pPr>
      <w:ind w:left="1200"/>
      <w:jc w:val="left"/>
    </w:pPr>
    <w:rPr>
      <w:rFonts w:asciiTheme="minorHAnsi" w:hAnsiTheme="minorHAnsi"/>
      <w:szCs w:val="20"/>
    </w:rPr>
  </w:style>
  <w:style w:type="paragraph" w:styleId="TOC8">
    <w:name w:val="toc 8"/>
    <w:basedOn w:val="Normal"/>
    <w:next w:val="Normal"/>
    <w:autoRedefine/>
    <w:uiPriority w:val="39"/>
    <w:semiHidden/>
    <w:unhideWhenUsed/>
    <w:rsid w:val="0062767E"/>
    <w:pPr>
      <w:ind w:left="1400"/>
      <w:jc w:val="left"/>
    </w:pPr>
    <w:rPr>
      <w:rFonts w:asciiTheme="minorHAnsi" w:hAnsiTheme="minorHAnsi"/>
      <w:szCs w:val="20"/>
    </w:rPr>
  </w:style>
  <w:style w:type="paragraph" w:styleId="TOC9">
    <w:name w:val="toc 9"/>
    <w:basedOn w:val="Normal"/>
    <w:next w:val="Normal"/>
    <w:autoRedefine/>
    <w:uiPriority w:val="39"/>
    <w:semiHidden/>
    <w:unhideWhenUsed/>
    <w:rsid w:val="0062767E"/>
    <w:pPr>
      <w:ind w:left="1600"/>
      <w:jc w:val="left"/>
    </w:pPr>
    <w:rPr>
      <w:rFonts w:asciiTheme="minorHAnsi" w:hAnsiTheme="minorHAnsi"/>
      <w:szCs w:val="20"/>
    </w:rPr>
  </w:style>
  <w:style w:type="character" w:styleId="Hyperlink">
    <w:name w:val="Hyperlink"/>
    <w:basedOn w:val="DefaultParagraphFont"/>
    <w:uiPriority w:val="99"/>
    <w:unhideWhenUsed/>
    <w:rsid w:val="00015203"/>
    <w:rPr>
      <w:color w:val="0000FF" w:themeColor="hyperlink"/>
      <w:u w:val="single"/>
    </w:rPr>
  </w:style>
  <w:style w:type="paragraph" w:styleId="TableofFigures">
    <w:name w:val="table of figures"/>
    <w:basedOn w:val="Normal"/>
    <w:next w:val="Normal"/>
    <w:uiPriority w:val="99"/>
    <w:unhideWhenUsed/>
    <w:rsid w:val="00215955"/>
  </w:style>
  <w:style w:type="paragraph" w:styleId="Caption">
    <w:name w:val="caption"/>
    <w:basedOn w:val="Normal"/>
    <w:next w:val="Normal"/>
    <w:uiPriority w:val="35"/>
    <w:unhideWhenUsed/>
    <w:qFormat/>
    <w:rsid w:val="00343A3D"/>
    <w:pPr>
      <w:spacing w:before="200"/>
    </w:pPr>
    <w:rPr>
      <w:b/>
      <w:bCs/>
      <w:color w:val="71AC7A"/>
      <w:szCs w:val="18"/>
    </w:rPr>
  </w:style>
  <w:style w:type="table" w:styleId="TableGrid">
    <w:name w:val="Table Grid"/>
    <w:basedOn w:val="TableNormal"/>
    <w:uiPriority w:val="59"/>
    <w:rsid w:val="00761DB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E63104"/>
    <w:rPr>
      <w:sz w:val="18"/>
      <w:szCs w:val="18"/>
    </w:rPr>
  </w:style>
  <w:style w:type="paragraph" w:styleId="CommentText">
    <w:name w:val="annotation text"/>
    <w:basedOn w:val="Normal"/>
    <w:link w:val="CommentTextChar"/>
    <w:uiPriority w:val="99"/>
    <w:semiHidden/>
    <w:unhideWhenUsed/>
    <w:rsid w:val="00E63104"/>
    <w:pPr>
      <w:spacing w:line="240" w:lineRule="auto"/>
    </w:pPr>
    <w:rPr>
      <w:sz w:val="24"/>
    </w:rPr>
  </w:style>
  <w:style w:type="character" w:customStyle="1" w:styleId="CommentTextChar">
    <w:name w:val="Comment Text Char"/>
    <w:basedOn w:val="DefaultParagraphFont"/>
    <w:link w:val="CommentText"/>
    <w:uiPriority w:val="99"/>
    <w:semiHidden/>
    <w:rsid w:val="00E63104"/>
    <w:rPr>
      <w:rFonts w:ascii="Arial Narrow" w:hAnsi="Arial Narrow"/>
      <w:color w:val="595959" w:themeColor="text1" w:themeTint="A6"/>
    </w:rPr>
  </w:style>
  <w:style w:type="paragraph" w:styleId="CommentSubject">
    <w:name w:val="annotation subject"/>
    <w:basedOn w:val="CommentText"/>
    <w:next w:val="CommentText"/>
    <w:link w:val="CommentSubjectChar"/>
    <w:uiPriority w:val="99"/>
    <w:semiHidden/>
    <w:unhideWhenUsed/>
    <w:rsid w:val="00E63104"/>
    <w:rPr>
      <w:b/>
      <w:bCs/>
      <w:sz w:val="20"/>
      <w:szCs w:val="20"/>
    </w:rPr>
  </w:style>
  <w:style w:type="character" w:customStyle="1" w:styleId="CommentSubjectChar">
    <w:name w:val="Comment Subject Char"/>
    <w:basedOn w:val="CommentTextChar"/>
    <w:link w:val="CommentSubject"/>
    <w:uiPriority w:val="99"/>
    <w:semiHidden/>
    <w:rsid w:val="00E63104"/>
    <w:rPr>
      <w:rFonts w:ascii="Arial Narrow" w:hAnsi="Arial Narrow"/>
      <w:b/>
      <w:bCs/>
      <w:color w:val="595959" w:themeColor="text1" w:themeTint="A6"/>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1459"/>
    <w:pPr>
      <w:spacing w:line="360" w:lineRule="auto"/>
      <w:jc w:val="both"/>
    </w:pPr>
    <w:rPr>
      <w:rFonts w:ascii="Arial Narrow" w:hAnsi="Arial Narrow"/>
      <w:color w:val="595959" w:themeColor="text1" w:themeTint="A6"/>
      <w:sz w:val="20"/>
    </w:rPr>
  </w:style>
  <w:style w:type="paragraph" w:styleId="Heading1">
    <w:name w:val="heading 1"/>
    <w:next w:val="Normal"/>
    <w:link w:val="Heading1Char"/>
    <w:autoRedefine/>
    <w:uiPriority w:val="9"/>
    <w:qFormat/>
    <w:rsid w:val="00B4571E"/>
    <w:pPr>
      <w:keepNext/>
      <w:keepLines/>
      <w:pBdr>
        <w:top w:val="nil"/>
        <w:left w:val="nil"/>
        <w:bottom w:val="nil"/>
        <w:right w:val="nil"/>
        <w:between w:val="nil"/>
        <w:bar w:val="nil"/>
      </w:pBdr>
      <w:spacing w:before="480" w:line="360" w:lineRule="auto"/>
      <w:outlineLvl w:val="0"/>
    </w:pPr>
    <w:rPr>
      <w:rFonts w:ascii="Arial Narrow" w:eastAsiaTheme="majorEastAsia" w:hAnsi="Arial Narrow" w:cstheme="majorBidi"/>
      <w:b/>
      <w:bCs/>
      <w:color w:val="71AC7A"/>
      <w:sz w:val="36"/>
      <w:szCs w:val="32"/>
      <w:bdr w:val="nil"/>
    </w:rPr>
  </w:style>
  <w:style w:type="paragraph" w:styleId="Heading2">
    <w:name w:val="heading 2"/>
    <w:next w:val="Normal"/>
    <w:link w:val="Heading2Char"/>
    <w:autoRedefine/>
    <w:uiPriority w:val="9"/>
    <w:unhideWhenUsed/>
    <w:qFormat/>
    <w:rsid w:val="005928AC"/>
    <w:pPr>
      <w:keepNext/>
      <w:keepLines/>
      <w:pBdr>
        <w:top w:val="nil"/>
        <w:left w:val="nil"/>
        <w:bottom w:val="nil"/>
        <w:right w:val="nil"/>
        <w:between w:val="nil"/>
        <w:bar w:val="nil"/>
      </w:pBdr>
      <w:spacing w:before="240" w:line="360" w:lineRule="auto"/>
      <w:jc w:val="both"/>
      <w:outlineLvl w:val="1"/>
    </w:pPr>
    <w:rPr>
      <w:rFonts w:ascii="Arial Narrow" w:eastAsiaTheme="majorEastAsia" w:hAnsi="Arial Narrow" w:cstheme="majorBidi"/>
      <w:b/>
      <w:bCs/>
      <w:color w:val="71AC7A"/>
      <w:szCs w:val="26"/>
      <w:bdr w:val="nil"/>
      <w:lang w:val="en-GB"/>
    </w:rPr>
  </w:style>
  <w:style w:type="paragraph" w:styleId="Heading3">
    <w:name w:val="heading 3"/>
    <w:basedOn w:val="Normal"/>
    <w:next w:val="Normal"/>
    <w:link w:val="Heading3Char"/>
    <w:autoRedefine/>
    <w:uiPriority w:val="9"/>
    <w:unhideWhenUsed/>
    <w:qFormat/>
    <w:rsid w:val="00F230F4"/>
    <w:pPr>
      <w:keepNext/>
      <w:keepLines/>
      <w:spacing w:before="200"/>
      <w:outlineLvl w:val="2"/>
    </w:pPr>
    <w:rPr>
      <w:rFonts w:eastAsiaTheme="majorEastAsia" w:cstheme="majorBidi"/>
      <w:b/>
      <w:bCs/>
      <w:color w:val="71AC7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571E"/>
    <w:rPr>
      <w:rFonts w:ascii="Arial Narrow" w:eastAsiaTheme="majorEastAsia" w:hAnsi="Arial Narrow" w:cstheme="majorBidi"/>
      <w:b/>
      <w:bCs/>
      <w:color w:val="71AC7A"/>
      <w:sz w:val="36"/>
      <w:szCs w:val="32"/>
      <w:bdr w:val="nil"/>
    </w:rPr>
  </w:style>
  <w:style w:type="character" w:customStyle="1" w:styleId="Heading2Char">
    <w:name w:val="Heading 2 Char"/>
    <w:basedOn w:val="DefaultParagraphFont"/>
    <w:link w:val="Heading2"/>
    <w:uiPriority w:val="9"/>
    <w:rsid w:val="005928AC"/>
    <w:rPr>
      <w:rFonts w:ascii="Arial Narrow" w:eastAsiaTheme="majorEastAsia" w:hAnsi="Arial Narrow" w:cstheme="majorBidi"/>
      <w:b/>
      <w:bCs/>
      <w:color w:val="71AC7A"/>
      <w:szCs w:val="26"/>
      <w:bdr w:val="nil"/>
      <w:lang w:val="en-GB"/>
    </w:rPr>
  </w:style>
  <w:style w:type="paragraph" w:styleId="ListParagraph">
    <w:name w:val="List Paragraph"/>
    <w:basedOn w:val="Normal"/>
    <w:qFormat/>
    <w:rsid w:val="00161459"/>
    <w:pPr>
      <w:ind w:left="720"/>
      <w:contextualSpacing/>
    </w:pPr>
  </w:style>
  <w:style w:type="paragraph" w:styleId="Header">
    <w:name w:val="header"/>
    <w:basedOn w:val="Normal"/>
    <w:link w:val="HeaderChar"/>
    <w:uiPriority w:val="99"/>
    <w:unhideWhenUsed/>
    <w:rsid w:val="00161459"/>
    <w:pPr>
      <w:tabs>
        <w:tab w:val="center" w:pos="4320"/>
        <w:tab w:val="right" w:pos="8640"/>
      </w:tabs>
      <w:spacing w:line="240" w:lineRule="auto"/>
    </w:pPr>
  </w:style>
  <w:style w:type="character" w:customStyle="1" w:styleId="HeaderChar">
    <w:name w:val="Header Char"/>
    <w:basedOn w:val="DefaultParagraphFont"/>
    <w:link w:val="Header"/>
    <w:uiPriority w:val="99"/>
    <w:rsid w:val="00161459"/>
    <w:rPr>
      <w:rFonts w:ascii="Arial Narrow" w:hAnsi="Arial Narrow"/>
      <w:color w:val="595959" w:themeColor="text1" w:themeTint="A6"/>
      <w:sz w:val="20"/>
    </w:rPr>
  </w:style>
  <w:style w:type="paragraph" w:styleId="Footer">
    <w:name w:val="footer"/>
    <w:basedOn w:val="Normal"/>
    <w:link w:val="FooterChar"/>
    <w:uiPriority w:val="99"/>
    <w:unhideWhenUsed/>
    <w:rsid w:val="00161459"/>
    <w:pPr>
      <w:tabs>
        <w:tab w:val="center" w:pos="4320"/>
        <w:tab w:val="right" w:pos="8640"/>
      </w:tabs>
      <w:spacing w:line="240" w:lineRule="auto"/>
    </w:pPr>
  </w:style>
  <w:style w:type="character" w:customStyle="1" w:styleId="FooterChar">
    <w:name w:val="Footer Char"/>
    <w:basedOn w:val="DefaultParagraphFont"/>
    <w:link w:val="Footer"/>
    <w:uiPriority w:val="99"/>
    <w:rsid w:val="00161459"/>
    <w:rPr>
      <w:rFonts w:ascii="Arial Narrow" w:hAnsi="Arial Narrow"/>
      <w:color w:val="595959" w:themeColor="text1" w:themeTint="A6"/>
      <w:sz w:val="20"/>
    </w:rPr>
  </w:style>
  <w:style w:type="character" w:styleId="PageNumber">
    <w:name w:val="page number"/>
    <w:basedOn w:val="DefaultParagraphFont"/>
    <w:uiPriority w:val="99"/>
    <w:semiHidden/>
    <w:unhideWhenUsed/>
    <w:rsid w:val="00161459"/>
  </w:style>
  <w:style w:type="paragraph" w:styleId="FootnoteText">
    <w:name w:val="footnote text"/>
    <w:basedOn w:val="Normal"/>
    <w:link w:val="FootnoteTextChar"/>
    <w:uiPriority w:val="99"/>
    <w:unhideWhenUsed/>
    <w:qFormat/>
    <w:rsid w:val="008D3D7E"/>
    <w:pPr>
      <w:spacing w:line="240" w:lineRule="auto"/>
    </w:pPr>
  </w:style>
  <w:style w:type="character" w:customStyle="1" w:styleId="FootnoteTextChar">
    <w:name w:val="Footnote Text Char"/>
    <w:basedOn w:val="DefaultParagraphFont"/>
    <w:link w:val="FootnoteText"/>
    <w:uiPriority w:val="99"/>
    <w:rsid w:val="008D3D7E"/>
    <w:rPr>
      <w:rFonts w:ascii="Arial Narrow" w:hAnsi="Arial Narrow"/>
      <w:color w:val="595959" w:themeColor="text1" w:themeTint="A6"/>
      <w:sz w:val="20"/>
    </w:rPr>
  </w:style>
  <w:style w:type="character" w:styleId="FootnoteReference">
    <w:name w:val="footnote reference"/>
    <w:basedOn w:val="DefaultParagraphFont"/>
    <w:uiPriority w:val="99"/>
    <w:unhideWhenUsed/>
    <w:rsid w:val="008D3D7E"/>
    <w:rPr>
      <w:vertAlign w:val="superscript"/>
    </w:rPr>
  </w:style>
  <w:style w:type="numbering" w:customStyle="1" w:styleId="List6">
    <w:name w:val="List 6"/>
    <w:basedOn w:val="NoList"/>
    <w:rsid w:val="008D3D7E"/>
    <w:pPr>
      <w:numPr>
        <w:numId w:val="2"/>
      </w:numPr>
    </w:pPr>
  </w:style>
  <w:style w:type="character" w:customStyle="1" w:styleId="Hyperlink1">
    <w:name w:val="Hyperlink.1"/>
    <w:basedOn w:val="DefaultParagraphFont"/>
    <w:rsid w:val="008D3D7E"/>
    <w:rPr>
      <w:color w:val="FFFFFF"/>
      <w:u w:val="none"/>
    </w:rPr>
  </w:style>
  <w:style w:type="paragraph" w:customStyle="1" w:styleId="FreeForm">
    <w:name w:val="Free Form"/>
    <w:rsid w:val="006A27D7"/>
    <w:pPr>
      <w:pBdr>
        <w:top w:val="nil"/>
        <w:left w:val="nil"/>
        <w:bottom w:val="nil"/>
        <w:right w:val="nil"/>
        <w:between w:val="nil"/>
        <w:bar w:val="nil"/>
      </w:pBdr>
    </w:pPr>
    <w:rPr>
      <w:rFonts w:ascii="Helvetica" w:eastAsia="Arial Unicode MS" w:hAnsi="Arial Unicode MS" w:cs="Arial Unicode MS"/>
      <w:color w:val="000000"/>
      <w:bdr w:val="nil"/>
    </w:rPr>
  </w:style>
  <w:style w:type="paragraph" w:customStyle="1" w:styleId="BODYCOPY">
    <w:name w:val="BODY COPY"/>
    <w:rsid w:val="006A27D7"/>
    <w:pPr>
      <w:widowControl w:val="0"/>
      <w:pBdr>
        <w:top w:val="nil"/>
        <w:left w:val="nil"/>
        <w:bottom w:val="nil"/>
        <w:right w:val="nil"/>
        <w:between w:val="nil"/>
        <w:bar w:val="nil"/>
      </w:pBdr>
      <w:suppressAutoHyphens/>
      <w:spacing w:after="240"/>
      <w:ind w:left="2694"/>
    </w:pPr>
    <w:rPr>
      <w:rFonts w:ascii="Arial" w:eastAsia="Arial Unicode MS" w:hAnsi="Arial Unicode MS" w:cs="Arial Unicode MS"/>
      <w:color w:val="6D6E70"/>
      <w:sz w:val="18"/>
      <w:szCs w:val="18"/>
      <w:bdr w:val="nil"/>
    </w:rPr>
  </w:style>
  <w:style w:type="paragraph" w:styleId="NormalWeb">
    <w:name w:val="Normal (Web)"/>
    <w:rsid w:val="006A27D7"/>
    <w:pPr>
      <w:pBdr>
        <w:top w:val="nil"/>
        <w:left w:val="nil"/>
        <w:bottom w:val="nil"/>
        <w:right w:val="nil"/>
        <w:between w:val="nil"/>
        <w:bar w:val="nil"/>
      </w:pBdr>
      <w:spacing w:before="100" w:after="100"/>
    </w:pPr>
    <w:rPr>
      <w:rFonts w:ascii="Times New Roman" w:eastAsia="Arial Unicode MS" w:hAnsi="Arial Unicode MS" w:cs="Arial Unicode MS"/>
      <w:color w:val="000000"/>
      <w:bdr w:val="nil"/>
    </w:rPr>
  </w:style>
  <w:style w:type="character" w:customStyle="1" w:styleId="Hyperlink2">
    <w:name w:val="Hyperlink.2"/>
    <w:basedOn w:val="DefaultParagraphFont"/>
    <w:rsid w:val="006A27D7"/>
    <w:rPr>
      <w:color w:val="FFFFFF"/>
      <w:u w:val="single"/>
    </w:rPr>
  </w:style>
  <w:style w:type="character" w:customStyle="1" w:styleId="Heading3Char">
    <w:name w:val="Heading 3 Char"/>
    <w:basedOn w:val="DefaultParagraphFont"/>
    <w:link w:val="Heading3"/>
    <w:uiPriority w:val="9"/>
    <w:rsid w:val="00F230F4"/>
    <w:rPr>
      <w:rFonts w:ascii="Arial Narrow" w:eastAsiaTheme="majorEastAsia" w:hAnsi="Arial Narrow" w:cstheme="majorBidi"/>
      <w:b/>
      <w:bCs/>
      <w:color w:val="71AC7A"/>
      <w:sz w:val="20"/>
    </w:rPr>
  </w:style>
  <w:style w:type="paragraph" w:styleId="TOCHeading">
    <w:name w:val="TOC Heading"/>
    <w:basedOn w:val="Heading1"/>
    <w:next w:val="Normal"/>
    <w:autoRedefine/>
    <w:uiPriority w:val="39"/>
    <w:unhideWhenUsed/>
    <w:qFormat/>
    <w:rsid w:val="00B4571E"/>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outlineLvl w:val="9"/>
    </w:pPr>
    <w:rPr>
      <w:szCs w:val="28"/>
      <w:bdr w:val="none" w:sz="0" w:space="0" w:color="auto"/>
    </w:rPr>
  </w:style>
  <w:style w:type="paragraph" w:styleId="TOC1">
    <w:name w:val="toc 1"/>
    <w:basedOn w:val="Normal"/>
    <w:next w:val="Normal"/>
    <w:autoRedefine/>
    <w:uiPriority w:val="39"/>
    <w:unhideWhenUsed/>
    <w:qFormat/>
    <w:rsid w:val="0062767E"/>
    <w:pPr>
      <w:spacing w:before="120"/>
      <w:jc w:val="left"/>
    </w:pPr>
    <w:rPr>
      <w:rFonts w:asciiTheme="minorHAnsi" w:hAnsiTheme="minorHAnsi"/>
      <w:b/>
      <w:sz w:val="22"/>
      <w:szCs w:val="22"/>
    </w:rPr>
  </w:style>
  <w:style w:type="paragraph" w:styleId="TOC2">
    <w:name w:val="toc 2"/>
    <w:basedOn w:val="Normal"/>
    <w:next w:val="Normal"/>
    <w:autoRedefine/>
    <w:uiPriority w:val="39"/>
    <w:unhideWhenUsed/>
    <w:qFormat/>
    <w:rsid w:val="0062767E"/>
    <w:pPr>
      <w:ind w:left="200"/>
      <w:jc w:val="left"/>
    </w:pPr>
    <w:rPr>
      <w:rFonts w:asciiTheme="minorHAnsi" w:hAnsiTheme="minorHAnsi"/>
      <w:i/>
      <w:sz w:val="22"/>
      <w:szCs w:val="22"/>
    </w:rPr>
  </w:style>
  <w:style w:type="paragraph" w:styleId="TOC3">
    <w:name w:val="toc 3"/>
    <w:basedOn w:val="Normal"/>
    <w:next w:val="Normal"/>
    <w:autoRedefine/>
    <w:uiPriority w:val="39"/>
    <w:unhideWhenUsed/>
    <w:qFormat/>
    <w:rsid w:val="0062767E"/>
    <w:pPr>
      <w:ind w:left="400"/>
      <w:jc w:val="left"/>
    </w:pPr>
    <w:rPr>
      <w:rFonts w:asciiTheme="minorHAnsi" w:hAnsiTheme="minorHAnsi"/>
      <w:sz w:val="22"/>
      <w:szCs w:val="22"/>
    </w:rPr>
  </w:style>
  <w:style w:type="paragraph" w:styleId="BalloonText">
    <w:name w:val="Balloon Text"/>
    <w:basedOn w:val="Normal"/>
    <w:link w:val="BalloonTextChar"/>
    <w:uiPriority w:val="99"/>
    <w:semiHidden/>
    <w:unhideWhenUsed/>
    <w:rsid w:val="0062767E"/>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767E"/>
    <w:rPr>
      <w:rFonts w:ascii="Lucida Grande" w:hAnsi="Lucida Grande" w:cs="Lucida Grande"/>
      <w:color w:val="595959" w:themeColor="text1" w:themeTint="A6"/>
      <w:sz w:val="18"/>
      <w:szCs w:val="18"/>
    </w:rPr>
  </w:style>
  <w:style w:type="paragraph" w:styleId="TOC4">
    <w:name w:val="toc 4"/>
    <w:basedOn w:val="Normal"/>
    <w:next w:val="Normal"/>
    <w:autoRedefine/>
    <w:uiPriority w:val="39"/>
    <w:semiHidden/>
    <w:unhideWhenUsed/>
    <w:rsid w:val="0062767E"/>
    <w:pPr>
      <w:ind w:left="600"/>
      <w:jc w:val="left"/>
    </w:pPr>
    <w:rPr>
      <w:rFonts w:asciiTheme="minorHAnsi" w:hAnsiTheme="minorHAnsi"/>
      <w:szCs w:val="20"/>
    </w:rPr>
  </w:style>
  <w:style w:type="paragraph" w:styleId="TOC5">
    <w:name w:val="toc 5"/>
    <w:basedOn w:val="Normal"/>
    <w:next w:val="Normal"/>
    <w:autoRedefine/>
    <w:uiPriority w:val="39"/>
    <w:semiHidden/>
    <w:unhideWhenUsed/>
    <w:rsid w:val="0062767E"/>
    <w:pPr>
      <w:ind w:left="800"/>
      <w:jc w:val="left"/>
    </w:pPr>
    <w:rPr>
      <w:rFonts w:asciiTheme="minorHAnsi" w:hAnsiTheme="minorHAnsi"/>
      <w:szCs w:val="20"/>
    </w:rPr>
  </w:style>
  <w:style w:type="paragraph" w:styleId="TOC6">
    <w:name w:val="toc 6"/>
    <w:basedOn w:val="Normal"/>
    <w:next w:val="Normal"/>
    <w:autoRedefine/>
    <w:uiPriority w:val="39"/>
    <w:semiHidden/>
    <w:unhideWhenUsed/>
    <w:rsid w:val="0062767E"/>
    <w:pPr>
      <w:ind w:left="1000"/>
      <w:jc w:val="left"/>
    </w:pPr>
    <w:rPr>
      <w:rFonts w:asciiTheme="minorHAnsi" w:hAnsiTheme="minorHAnsi"/>
      <w:szCs w:val="20"/>
    </w:rPr>
  </w:style>
  <w:style w:type="paragraph" w:styleId="TOC7">
    <w:name w:val="toc 7"/>
    <w:basedOn w:val="Normal"/>
    <w:next w:val="Normal"/>
    <w:autoRedefine/>
    <w:uiPriority w:val="39"/>
    <w:semiHidden/>
    <w:unhideWhenUsed/>
    <w:rsid w:val="0062767E"/>
    <w:pPr>
      <w:ind w:left="1200"/>
      <w:jc w:val="left"/>
    </w:pPr>
    <w:rPr>
      <w:rFonts w:asciiTheme="minorHAnsi" w:hAnsiTheme="minorHAnsi"/>
      <w:szCs w:val="20"/>
    </w:rPr>
  </w:style>
  <w:style w:type="paragraph" w:styleId="TOC8">
    <w:name w:val="toc 8"/>
    <w:basedOn w:val="Normal"/>
    <w:next w:val="Normal"/>
    <w:autoRedefine/>
    <w:uiPriority w:val="39"/>
    <w:semiHidden/>
    <w:unhideWhenUsed/>
    <w:rsid w:val="0062767E"/>
    <w:pPr>
      <w:ind w:left="1400"/>
      <w:jc w:val="left"/>
    </w:pPr>
    <w:rPr>
      <w:rFonts w:asciiTheme="minorHAnsi" w:hAnsiTheme="minorHAnsi"/>
      <w:szCs w:val="20"/>
    </w:rPr>
  </w:style>
  <w:style w:type="paragraph" w:styleId="TOC9">
    <w:name w:val="toc 9"/>
    <w:basedOn w:val="Normal"/>
    <w:next w:val="Normal"/>
    <w:autoRedefine/>
    <w:uiPriority w:val="39"/>
    <w:semiHidden/>
    <w:unhideWhenUsed/>
    <w:rsid w:val="0062767E"/>
    <w:pPr>
      <w:ind w:left="1600"/>
      <w:jc w:val="left"/>
    </w:pPr>
    <w:rPr>
      <w:rFonts w:asciiTheme="minorHAnsi" w:hAnsiTheme="minorHAnsi"/>
      <w:szCs w:val="20"/>
    </w:rPr>
  </w:style>
  <w:style w:type="character" w:styleId="Hyperlink">
    <w:name w:val="Hyperlink"/>
    <w:basedOn w:val="DefaultParagraphFont"/>
    <w:uiPriority w:val="99"/>
    <w:unhideWhenUsed/>
    <w:rsid w:val="00015203"/>
    <w:rPr>
      <w:color w:val="0000FF" w:themeColor="hyperlink"/>
      <w:u w:val="single"/>
    </w:rPr>
  </w:style>
  <w:style w:type="paragraph" w:styleId="TableofFigures">
    <w:name w:val="table of figures"/>
    <w:basedOn w:val="Normal"/>
    <w:next w:val="Normal"/>
    <w:uiPriority w:val="99"/>
    <w:unhideWhenUsed/>
    <w:rsid w:val="00215955"/>
  </w:style>
  <w:style w:type="paragraph" w:styleId="Caption">
    <w:name w:val="caption"/>
    <w:basedOn w:val="Normal"/>
    <w:next w:val="Normal"/>
    <w:uiPriority w:val="35"/>
    <w:unhideWhenUsed/>
    <w:qFormat/>
    <w:rsid w:val="00343A3D"/>
    <w:pPr>
      <w:spacing w:before="200"/>
    </w:pPr>
    <w:rPr>
      <w:b/>
      <w:bCs/>
      <w:color w:val="71AC7A"/>
      <w:szCs w:val="18"/>
    </w:rPr>
  </w:style>
  <w:style w:type="table" w:styleId="TableGrid">
    <w:name w:val="Table Grid"/>
    <w:basedOn w:val="TableNormal"/>
    <w:uiPriority w:val="59"/>
    <w:rsid w:val="00761DB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E63104"/>
    <w:rPr>
      <w:sz w:val="18"/>
      <w:szCs w:val="18"/>
    </w:rPr>
  </w:style>
  <w:style w:type="paragraph" w:styleId="CommentText">
    <w:name w:val="annotation text"/>
    <w:basedOn w:val="Normal"/>
    <w:link w:val="CommentTextChar"/>
    <w:uiPriority w:val="99"/>
    <w:semiHidden/>
    <w:unhideWhenUsed/>
    <w:rsid w:val="00E63104"/>
    <w:pPr>
      <w:spacing w:line="240" w:lineRule="auto"/>
    </w:pPr>
    <w:rPr>
      <w:sz w:val="24"/>
    </w:rPr>
  </w:style>
  <w:style w:type="character" w:customStyle="1" w:styleId="CommentTextChar">
    <w:name w:val="Comment Text Char"/>
    <w:basedOn w:val="DefaultParagraphFont"/>
    <w:link w:val="CommentText"/>
    <w:uiPriority w:val="99"/>
    <w:semiHidden/>
    <w:rsid w:val="00E63104"/>
    <w:rPr>
      <w:rFonts w:ascii="Arial Narrow" w:hAnsi="Arial Narrow"/>
      <w:color w:val="595959" w:themeColor="text1" w:themeTint="A6"/>
    </w:rPr>
  </w:style>
  <w:style w:type="paragraph" w:styleId="CommentSubject">
    <w:name w:val="annotation subject"/>
    <w:basedOn w:val="CommentText"/>
    <w:next w:val="CommentText"/>
    <w:link w:val="CommentSubjectChar"/>
    <w:uiPriority w:val="99"/>
    <w:semiHidden/>
    <w:unhideWhenUsed/>
    <w:rsid w:val="00E63104"/>
    <w:rPr>
      <w:b/>
      <w:bCs/>
      <w:sz w:val="20"/>
      <w:szCs w:val="20"/>
    </w:rPr>
  </w:style>
  <w:style w:type="character" w:customStyle="1" w:styleId="CommentSubjectChar">
    <w:name w:val="Comment Subject Char"/>
    <w:basedOn w:val="CommentTextChar"/>
    <w:link w:val="CommentSubject"/>
    <w:uiPriority w:val="99"/>
    <w:semiHidden/>
    <w:rsid w:val="00E63104"/>
    <w:rPr>
      <w:rFonts w:ascii="Arial Narrow" w:hAnsi="Arial Narrow"/>
      <w:b/>
      <w:bCs/>
      <w:color w:val="595959" w:themeColor="text1" w:themeTint="A6"/>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538607">
      <w:bodyDiv w:val="1"/>
      <w:marLeft w:val="0"/>
      <w:marRight w:val="0"/>
      <w:marTop w:val="0"/>
      <w:marBottom w:val="0"/>
      <w:divBdr>
        <w:top w:val="none" w:sz="0" w:space="0" w:color="auto"/>
        <w:left w:val="none" w:sz="0" w:space="0" w:color="auto"/>
        <w:bottom w:val="none" w:sz="0" w:space="0" w:color="auto"/>
        <w:right w:val="none" w:sz="0" w:space="0" w:color="auto"/>
      </w:divBdr>
    </w:div>
    <w:div w:id="1023481194">
      <w:bodyDiv w:val="1"/>
      <w:marLeft w:val="0"/>
      <w:marRight w:val="0"/>
      <w:marTop w:val="0"/>
      <w:marBottom w:val="0"/>
      <w:divBdr>
        <w:top w:val="none" w:sz="0" w:space="0" w:color="auto"/>
        <w:left w:val="none" w:sz="0" w:space="0" w:color="auto"/>
        <w:bottom w:val="none" w:sz="0" w:space="0" w:color="auto"/>
        <w:right w:val="none" w:sz="0" w:space="0" w:color="auto"/>
      </w:divBdr>
    </w:div>
    <w:div w:id="1121729840">
      <w:bodyDiv w:val="1"/>
      <w:marLeft w:val="0"/>
      <w:marRight w:val="0"/>
      <w:marTop w:val="0"/>
      <w:marBottom w:val="0"/>
      <w:divBdr>
        <w:top w:val="none" w:sz="0" w:space="0" w:color="auto"/>
        <w:left w:val="none" w:sz="0" w:space="0" w:color="auto"/>
        <w:bottom w:val="none" w:sz="0" w:space="0" w:color="auto"/>
        <w:right w:val="none" w:sz="0" w:space="0" w:color="auto"/>
      </w:divBdr>
    </w:div>
    <w:div w:id="1256863294">
      <w:bodyDiv w:val="1"/>
      <w:marLeft w:val="0"/>
      <w:marRight w:val="0"/>
      <w:marTop w:val="0"/>
      <w:marBottom w:val="0"/>
      <w:divBdr>
        <w:top w:val="none" w:sz="0" w:space="0" w:color="auto"/>
        <w:left w:val="none" w:sz="0" w:space="0" w:color="auto"/>
        <w:bottom w:val="none" w:sz="0" w:space="0" w:color="auto"/>
        <w:right w:val="none" w:sz="0" w:space="0" w:color="auto"/>
      </w:divBdr>
      <w:divsChild>
        <w:div w:id="1520043551">
          <w:marLeft w:val="446"/>
          <w:marRight w:val="0"/>
          <w:marTop w:val="0"/>
          <w:marBottom w:val="0"/>
          <w:divBdr>
            <w:top w:val="none" w:sz="0" w:space="0" w:color="auto"/>
            <w:left w:val="none" w:sz="0" w:space="0" w:color="auto"/>
            <w:bottom w:val="none" w:sz="0" w:space="0" w:color="auto"/>
            <w:right w:val="none" w:sz="0" w:space="0" w:color="auto"/>
          </w:divBdr>
        </w:div>
        <w:div w:id="78410605">
          <w:marLeft w:val="446"/>
          <w:marRight w:val="0"/>
          <w:marTop w:val="0"/>
          <w:marBottom w:val="0"/>
          <w:divBdr>
            <w:top w:val="none" w:sz="0" w:space="0" w:color="auto"/>
            <w:left w:val="none" w:sz="0" w:space="0" w:color="auto"/>
            <w:bottom w:val="none" w:sz="0" w:space="0" w:color="auto"/>
            <w:right w:val="none" w:sz="0" w:space="0" w:color="auto"/>
          </w:divBdr>
        </w:div>
        <w:div w:id="174879092">
          <w:marLeft w:val="446"/>
          <w:marRight w:val="0"/>
          <w:marTop w:val="0"/>
          <w:marBottom w:val="0"/>
          <w:divBdr>
            <w:top w:val="none" w:sz="0" w:space="0" w:color="auto"/>
            <w:left w:val="none" w:sz="0" w:space="0" w:color="auto"/>
            <w:bottom w:val="none" w:sz="0" w:space="0" w:color="auto"/>
            <w:right w:val="none" w:sz="0" w:space="0" w:color="auto"/>
          </w:divBdr>
        </w:div>
        <w:div w:id="2031493400">
          <w:marLeft w:val="446"/>
          <w:marRight w:val="0"/>
          <w:marTop w:val="0"/>
          <w:marBottom w:val="0"/>
          <w:divBdr>
            <w:top w:val="none" w:sz="0" w:space="0" w:color="auto"/>
            <w:left w:val="none" w:sz="0" w:space="0" w:color="auto"/>
            <w:bottom w:val="none" w:sz="0" w:space="0" w:color="auto"/>
            <w:right w:val="none" w:sz="0" w:space="0" w:color="auto"/>
          </w:divBdr>
        </w:div>
        <w:div w:id="1404645681">
          <w:marLeft w:val="446"/>
          <w:marRight w:val="0"/>
          <w:marTop w:val="0"/>
          <w:marBottom w:val="0"/>
          <w:divBdr>
            <w:top w:val="none" w:sz="0" w:space="0" w:color="auto"/>
            <w:left w:val="none" w:sz="0" w:space="0" w:color="auto"/>
            <w:bottom w:val="none" w:sz="0" w:space="0" w:color="auto"/>
            <w:right w:val="none" w:sz="0" w:space="0" w:color="auto"/>
          </w:divBdr>
        </w:div>
        <w:div w:id="477842086">
          <w:marLeft w:val="446"/>
          <w:marRight w:val="0"/>
          <w:marTop w:val="0"/>
          <w:marBottom w:val="0"/>
          <w:divBdr>
            <w:top w:val="none" w:sz="0" w:space="0" w:color="auto"/>
            <w:left w:val="none" w:sz="0" w:space="0" w:color="auto"/>
            <w:bottom w:val="none" w:sz="0" w:space="0" w:color="auto"/>
            <w:right w:val="none" w:sz="0" w:space="0" w:color="auto"/>
          </w:divBdr>
        </w:div>
        <w:div w:id="598293775">
          <w:marLeft w:val="446"/>
          <w:marRight w:val="0"/>
          <w:marTop w:val="0"/>
          <w:marBottom w:val="0"/>
          <w:divBdr>
            <w:top w:val="none" w:sz="0" w:space="0" w:color="auto"/>
            <w:left w:val="none" w:sz="0" w:space="0" w:color="auto"/>
            <w:bottom w:val="none" w:sz="0" w:space="0" w:color="auto"/>
            <w:right w:val="none" w:sz="0" w:space="0" w:color="auto"/>
          </w:divBdr>
        </w:div>
        <w:div w:id="1468938571">
          <w:marLeft w:val="446"/>
          <w:marRight w:val="0"/>
          <w:marTop w:val="0"/>
          <w:marBottom w:val="0"/>
          <w:divBdr>
            <w:top w:val="none" w:sz="0" w:space="0" w:color="auto"/>
            <w:left w:val="none" w:sz="0" w:space="0" w:color="auto"/>
            <w:bottom w:val="none" w:sz="0" w:space="0" w:color="auto"/>
            <w:right w:val="none" w:sz="0" w:space="0" w:color="auto"/>
          </w:divBdr>
        </w:div>
        <w:div w:id="571043003">
          <w:marLeft w:val="446"/>
          <w:marRight w:val="0"/>
          <w:marTop w:val="0"/>
          <w:marBottom w:val="0"/>
          <w:divBdr>
            <w:top w:val="none" w:sz="0" w:space="0" w:color="auto"/>
            <w:left w:val="none" w:sz="0" w:space="0" w:color="auto"/>
            <w:bottom w:val="none" w:sz="0" w:space="0" w:color="auto"/>
            <w:right w:val="none" w:sz="0" w:space="0" w:color="auto"/>
          </w:divBdr>
        </w:div>
        <w:div w:id="269943940">
          <w:marLeft w:val="446"/>
          <w:marRight w:val="0"/>
          <w:marTop w:val="0"/>
          <w:marBottom w:val="0"/>
          <w:divBdr>
            <w:top w:val="none" w:sz="0" w:space="0" w:color="auto"/>
            <w:left w:val="none" w:sz="0" w:space="0" w:color="auto"/>
            <w:bottom w:val="none" w:sz="0" w:space="0" w:color="auto"/>
            <w:right w:val="none" w:sz="0" w:space="0" w:color="auto"/>
          </w:divBdr>
        </w:div>
        <w:div w:id="1566649845">
          <w:marLeft w:val="446"/>
          <w:marRight w:val="0"/>
          <w:marTop w:val="0"/>
          <w:marBottom w:val="0"/>
          <w:divBdr>
            <w:top w:val="none" w:sz="0" w:space="0" w:color="auto"/>
            <w:left w:val="none" w:sz="0" w:space="0" w:color="auto"/>
            <w:bottom w:val="none" w:sz="0" w:space="0" w:color="auto"/>
            <w:right w:val="none" w:sz="0" w:space="0" w:color="auto"/>
          </w:divBdr>
        </w:div>
        <w:div w:id="630667516">
          <w:marLeft w:val="446"/>
          <w:marRight w:val="0"/>
          <w:marTop w:val="0"/>
          <w:marBottom w:val="0"/>
          <w:divBdr>
            <w:top w:val="none" w:sz="0" w:space="0" w:color="auto"/>
            <w:left w:val="none" w:sz="0" w:space="0" w:color="auto"/>
            <w:bottom w:val="none" w:sz="0" w:space="0" w:color="auto"/>
            <w:right w:val="none" w:sz="0" w:space="0" w:color="auto"/>
          </w:divBdr>
        </w:div>
        <w:div w:id="115414522">
          <w:marLeft w:val="446"/>
          <w:marRight w:val="0"/>
          <w:marTop w:val="0"/>
          <w:marBottom w:val="0"/>
          <w:divBdr>
            <w:top w:val="none" w:sz="0" w:space="0" w:color="auto"/>
            <w:left w:val="none" w:sz="0" w:space="0" w:color="auto"/>
            <w:bottom w:val="none" w:sz="0" w:space="0" w:color="auto"/>
            <w:right w:val="none" w:sz="0" w:space="0" w:color="auto"/>
          </w:divBdr>
        </w:div>
        <w:div w:id="1791584592">
          <w:marLeft w:val="446"/>
          <w:marRight w:val="0"/>
          <w:marTop w:val="0"/>
          <w:marBottom w:val="0"/>
          <w:divBdr>
            <w:top w:val="none" w:sz="0" w:space="0" w:color="auto"/>
            <w:left w:val="none" w:sz="0" w:space="0" w:color="auto"/>
            <w:bottom w:val="none" w:sz="0" w:space="0" w:color="auto"/>
            <w:right w:val="none" w:sz="0" w:space="0" w:color="auto"/>
          </w:divBdr>
        </w:div>
        <w:div w:id="1660108202">
          <w:marLeft w:val="446"/>
          <w:marRight w:val="0"/>
          <w:marTop w:val="0"/>
          <w:marBottom w:val="0"/>
          <w:divBdr>
            <w:top w:val="none" w:sz="0" w:space="0" w:color="auto"/>
            <w:left w:val="none" w:sz="0" w:space="0" w:color="auto"/>
            <w:bottom w:val="none" w:sz="0" w:space="0" w:color="auto"/>
            <w:right w:val="none" w:sz="0" w:space="0" w:color="auto"/>
          </w:divBdr>
        </w:div>
        <w:div w:id="1904291072">
          <w:marLeft w:val="446"/>
          <w:marRight w:val="0"/>
          <w:marTop w:val="0"/>
          <w:marBottom w:val="0"/>
          <w:divBdr>
            <w:top w:val="none" w:sz="0" w:space="0" w:color="auto"/>
            <w:left w:val="none" w:sz="0" w:space="0" w:color="auto"/>
            <w:bottom w:val="none" w:sz="0" w:space="0" w:color="auto"/>
            <w:right w:val="none" w:sz="0" w:space="0" w:color="auto"/>
          </w:divBdr>
        </w:div>
        <w:div w:id="25643527">
          <w:marLeft w:val="446"/>
          <w:marRight w:val="0"/>
          <w:marTop w:val="0"/>
          <w:marBottom w:val="0"/>
          <w:divBdr>
            <w:top w:val="none" w:sz="0" w:space="0" w:color="auto"/>
            <w:left w:val="none" w:sz="0" w:space="0" w:color="auto"/>
            <w:bottom w:val="none" w:sz="0" w:space="0" w:color="auto"/>
            <w:right w:val="none" w:sz="0" w:space="0" w:color="auto"/>
          </w:divBdr>
        </w:div>
        <w:div w:id="404451115">
          <w:marLeft w:val="446"/>
          <w:marRight w:val="0"/>
          <w:marTop w:val="0"/>
          <w:marBottom w:val="0"/>
          <w:divBdr>
            <w:top w:val="none" w:sz="0" w:space="0" w:color="auto"/>
            <w:left w:val="none" w:sz="0" w:space="0" w:color="auto"/>
            <w:bottom w:val="none" w:sz="0" w:space="0" w:color="auto"/>
            <w:right w:val="none" w:sz="0" w:space="0" w:color="auto"/>
          </w:divBdr>
        </w:div>
        <w:div w:id="1486700095">
          <w:marLeft w:val="446"/>
          <w:marRight w:val="0"/>
          <w:marTop w:val="0"/>
          <w:marBottom w:val="0"/>
          <w:divBdr>
            <w:top w:val="none" w:sz="0" w:space="0" w:color="auto"/>
            <w:left w:val="none" w:sz="0" w:space="0" w:color="auto"/>
            <w:bottom w:val="none" w:sz="0" w:space="0" w:color="auto"/>
            <w:right w:val="none" w:sz="0" w:space="0" w:color="auto"/>
          </w:divBdr>
        </w:div>
        <w:div w:id="668102146">
          <w:marLeft w:val="446"/>
          <w:marRight w:val="0"/>
          <w:marTop w:val="0"/>
          <w:marBottom w:val="0"/>
          <w:divBdr>
            <w:top w:val="none" w:sz="0" w:space="0" w:color="auto"/>
            <w:left w:val="none" w:sz="0" w:space="0" w:color="auto"/>
            <w:bottom w:val="none" w:sz="0" w:space="0" w:color="auto"/>
            <w:right w:val="none" w:sz="0" w:space="0" w:color="auto"/>
          </w:divBdr>
        </w:div>
        <w:div w:id="1750540043">
          <w:marLeft w:val="446"/>
          <w:marRight w:val="0"/>
          <w:marTop w:val="0"/>
          <w:marBottom w:val="0"/>
          <w:divBdr>
            <w:top w:val="none" w:sz="0" w:space="0" w:color="auto"/>
            <w:left w:val="none" w:sz="0" w:space="0" w:color="auto"/>
            <w:bottom w:val="none" w:sz="0" w:space="0" w:color="auto"/>
            <w:right w:val="none" w:sz="0" w:space="0" w:color="auto"/>
          </w:divBdr>
        </w:div>
        <w:div w:id="580066030">
          <w:marLeft w:val="446"/>
          <w:marRight w:val="0"/>
          <w:marTop w:val="0"/>
          <w:marBottom w:val="0"/>
          <w:divBdr>
            <w:top w:val="none" w:sz="0" w:space="0" w:color="auto"/>
            <w:left w:val="none" w:sz="0" w:space="0" w:color="auto"/>
            <w:bottom w:val="none" w:sz="0" w:space="0" w:color="auto"/>
            <w:right w:val="none" w:sz="0" w:space="0" w:color="auto"/>
          </w:divBdr>
        </w:div>
        <w:div w:id="383994375">
          <w:marLeft w:val="446"/>
          <w:marRight w:val="0"/>
          <w:marTop w:val="0"/>
          <w:marBottom w:val="0"/>
          <w:divBdr>
            <w:top w:val="none" w:sz="0" w:space="0" w:color="auto"/>
            <w:left w:val="none" w:sz="0" w:space="0" w:color="auto"/>
            <w:bottom w:val="none" w:sz="0" w:space="0" w:color="auto"/>
            <w:right w:val="none" w:sz="0" w:space="0" w:color="auto"/>
          </w:divBdr>
        </w:div>
        <w:div w:id="1540121432">
          <w:marLeft w:val="446"/>
          <w:marRight w:val="0"/>
          <w:marTop w:val="0"/>
          <w:marBottom w:val="0"/>
          <w:divBdr>
            <w:top w:val="none" w:sz="0" w:space="0" w:color="auto"/>
            <w:left w:val="none" w:sz="0" w:space="0" w:color="auto"/>
            <w:bottom w:val="none" w:sz="0" w:space="0" w:color="auto"/>
            <w:right w:val="none" w:sz="0" w:space="0" w:color="auto"/>
          </w:divBdr>
        </w:div>
        <w:div w:id="2092189846">
          <w:marLeft w:val="446"/>
          <w:marRight w:val="0"/>
          <w:marTop w:val="0"/>
          <w:marBottom w:val="0"/>
          <w:divBdr>
            <w:top w:val="none" w:sz="0" w:space="0" w:color="auto"/>
            <w:left w:val="none" w:sz="0" w:space="0" w:color="auto"/>
            <w:bottom w:val="none" w:sz="0" w:space="0" w:color="auto"/>
            <w:right w:val="none" w:sz="0" w:space="0" w:color="auto"/>
          </w:divBdr>
        </w:div>
      </w:divsChild>
    </w:div>
    <w:div w:id="1333602870">
      <w:bodyDiv w:val="1"/>
      <w:marLeft w:val="0"/>
      <w:marRight w:val="0"/>
      <w:marTop w:val="0"/>
      <w:marBottom w:val="0"/>
      <w:divBdr>
        <w:top w:val="none" w:sz="0" w:space="0" w:color="auto"/>
        <w:left w:val="none" w:sz="0" w:space="0" w:color="auto"/>
        <w:bottom w:val="none" w:sz="0" w:space="0" w:color="auto"/>
        <w:right w:val="none" w:sz="0" w:space="0" w:color="auto"/>
      </w:divBdr>
      <w:divsChild>
        <w:div w:id="1708872734">
          <w:marLeft w:val="547"/>
          <w:marRight w:val="0"/>
          <w:marTop w:val="0"/>
          <w:marBottom w:val="0"/>
          <w:divBdr>
            <w:top w:val="none" w:sz="0" w:space="0" w:color="auto"/>
            <w:left w:val="none" w:sz="0" w:space="0" w:color="auto"/>
            <w:bottom w:val="none" w:sz="0" w:space="0" w:color="auto"/>
            <w:right w:val="none" w:sz="0" w:space="0" w:color="auto"/>
          </w:divBdr>
        </w:div>
        <w:div w:id="828446242">
          <w:marLeft w:val="547"/>
          <w:marRight w:val="0"/>
          <w:marTop w:val="0"/>
          <w:marBottom w:val="0"/>
          <w:divBdr>
            <w:top w:val="none" w:sz="0" w:space="0" w:color="auto"/>
            <w:left w:val="none" w:sz="0" w:space="0" w:color="auto"/>
            <w:bottom w:val="none" w:sz="0" w:space="0" w:color="auto"/>
            <w:right w:val="none" w:sz="0" w:space="0" w:color="auto"/>
          </w:divBdr>
        </w:div>
        <w:div w:id="2074087109">
          <w:marLeft w:val="547"/>
          <w:marRight w:val="0"/>
          <w:marTop w:val="0"/>
          <w:marBottom w:val="0"/>
          <w:divBdr>
            <w:top w:val="none" w:sz="0" w:space="0" w:color="auto"/>
            <w:left w:val="none" w:sz="0" w:space="0" w:color="auto"/>
            <w:bottom w:val="none" w:sz="0" w:space="0" w:color="auto"/>
            <w:right w:val="none" w:sz="0" w:space="0" w:color="auto"/>
          </w:divBdr>
        </w:div>
        <w:div w:id="592973879">
          <w:marLeft w:val="1267"/>
          <w:marRight w:val="0"/>
          <w:marTop w:val="0"/>
          <w:marBottom w:val="0"/>
          <w:divBdr>
            <w:top w:val="none" w:sz="0" w:space="0" w:color="auto"/>
            <w:left w:val="none" w:sz="0" w:space="0" w:color="auto"/>
            <w:bottom w:val="none" w:sz="0" w:space="0" w:color="auto"/>
            <w:right w:val="none" w:sz="0" w:space="0" w:color="auto"/>
          </w:divBdr>
        </w:div>
        <w:div w:id="863134028">
          <w:marLeft w:val="1987"/>
          <w:marRight w:val="0"/>
          <w:marTop w:val="0"/>
          <w:marBottom w:val="0"/>
          <w:divBdr>
            <w:top w:val="none" w:sz="0" w:space="0" w:color="auto"/>
            <w:left w:val="none" w:sz="0" w:space="0" w:color="auto"/>
            <w:bottom w:val="none" w:sz="0" w:space="0" w:color="auto"/>
            <w:right w:val="none" w:sz="0" w:space="0" w:color="auto"/>
          </w:divBdr>
        </w:div>
        <w:div w:id="112986670">
          <w:marLeft w:val="1987"/>
          <w:marRight w:val="0"/>
          <w:marTop w:val="0"/>
          <w:marBottom w:val="0"/>
          <w:divBdr>
            <w:top w:val="none" w:sz="0" w:space="0" w:color="auto"/>
            <w:left w:val="none" w:sz="0" w:space="0" w:color="auto"/>
            <w:bottom w:val="none" w:sz="0" w:space="0" w:color="auto"/>
            <w:right w:val="none" w:sz="0" w:space="0" w:color="auto"/>
          </w:divBdr>
        </w:div>
        <w:div w:id="157120468">
          <w:marLeft w:val="1267"/>
          <w:marRight w:val="0"/>
          <w:marTop w:val="0"/>
          <w:marBottom w:val="0"/>
          <w:divBdr>
            <w:top w:val="none" w:sz="0" w:space="0" w:color="auto"/>
            <w:left w:val="none" w:sz="0" w:space="0" w:color="auto"/>
            <w:bottom w:val="none" w:sz="0" w:space="0" w:color="auto"/>
            <w:right w:val="none" w:sz="0" w:space="0" w:color="auto"/>
          </w:divBdr>
        </w:div>
        <w:div w:id="407848870">
          <w:marLeft w:val="1987"/>
          <w:marRight w:val="0"/>
          <w:marTop w:val="0"/>
          <w:marBottom w:val="0"/>
          <w:divBdr>
            <w:top w:val="none" w:sz="0" w:space="0" w:color="auto"/>
            <w:left w:val="none" w:sz="0" w:space="0" w:color="auto"/>
            <w:bottom w:val="none" w:sz="0" w:space="0" w:color="auto"/>
            <w:right w:val="none" w:sz="0" w:space="0" w:color="auto"/>
          </w:divBdr>
        </w:div>
        <w:div w:id="214125693">
          <w:marLeft w:val="1987"/>
          <w:marRight w:val="0"/>
          <w:marTop w:val="0"/>
          <w:marBottom w:val="0"/>
          <w:divBdr>
            <w:top w:val="none" w:sz="0" w:space="0" w:color="auto"/>
            <w:left w:val="none" w:sz="0" w:space="0" w:color="auto"/>
            <w:bottom w:val="none" w:sz="0" w:space="0" w:color="auto"/>
            <w:right w:val="none" w:sz="0" w:space="0" w:color="auto"/>
          </w:divBdr>
        </w:div>
        <w:div w:id="1737557438">
          <w:marLeft w:val="1987"/>
          <w:marRight w:val="0"/>
          <w:marTop w:val="0"/>
          <w:marBottom w:val="0"/>
          <w:divBdr>
            <w:top w:val="none" w:sz="0" w:space="0" w:color="auto"/>
            <w:left w:val="none" w:sz="0" w:space="0" w:color="auto"/>
            <w:bottom w:val="none" w:sz="0" w:space="0" w:color="auto"/>
            <w:right w:val="none" w:sz="0" w:space="0" w:color="auto"/>
          </w:divBdr>
        </w:div>
        <w:div w:id="1916625636">
          <w:marLeft w:val="547"/>
          <w:marRight w:val="0"/>
          <w:marTop w:val="0"/>
          <w:marBottom w:val="0"/>
          <w:divBdr>
            <w:top w:val="none" w:sz="0" w:space="0" w:color="auto"/>
            <w:left w:val="none" w:sz="0" w:space="0" w:color="auto"/>
            <w:bottom w:val="none" w:sz="0" w:space="0" w:color="auto"/>
            <w:right w:val="none" w:sz="0" w:space="0" w:color="auto"/>
          </w:divBdr>
        </w:div>
        <w:div w:id="396323529">
          <w:marLeft w:val="1267"/>
          <w:marRight w:val="0"/>
          <w:marTop w:val="0"/>
          <w:marBottom w:val="0"/>
          <w:divBdr>
            <w:top w:val="none" w:sz="0" w:space="0" w:color="auto"/>
            <w:left w:val="none" w:sz="0" w:space="0" w:color="auto"/>
            <w:bottom w:val="none" w:sz="0" w:space="0" w:color="auto"/>
            <w:right w:val="none" w:sz="0" w:space="0" w:color="auto"/>
          </w:divBdr>
        </w:div>
        <w:div w:id="738557100">
          <w:marLeft w:val="1267"/>
          <w:marRight w:val="0"/>
          <w:marTop w:val="0"/>
          <w:marBottom w:val="0"/>
          <w:divBdr>
            <w:top w:val="none" w:sz="0" w:space="0" w:color="auto"/>
            <w:left w:val="none" w:sz="0" w:space="0" w:color="auto"/>
            <w:bottom w:val="none" w:sz="0" w:space="0" w:color="auto"/>
            <w:right w:val="none" w:sz="0" w:space="0" w:color="auto"/>
          </w:divBdr>
        </w:div>
        <w:div w:id="775440444">
          <w:marLeft w:val="547"/>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chart" Target="charts/chart4.xml"/><Relationship Id="rId21" Type="http://schemas.openxmlformats.org/officeDocument/2006/relationships/chart" Target="charts/chart5.xml"/><Relationship Id="rId22" Type="http://schemas.openxmlformats.org/officeDocument/2006/relationships/image" Target="media/image9.jpeg"/><Relationship Id="rId23" Type="http://schemas.openxmlformats.org/officeDocument/2006/relationships/chart" Target="charts/chart6.xml"/><Relationship Id="rId24" Type="http://schemas.openxmlformats.org/officeDocument/2006/relationships/image" Target="media/image10.jpeg"/><Relationship Id="rId25" Type="http://schemas.openxmlformats.org/officeDocument/2006/relationships/chart" Target="charts/chart7.xml"/><Relationship Id="rId26" Type="http://schemas.openxmlformats.org/officeDocument/2006/relationships/chart" Target="charts/chart8.xml"/><Relationship Id="rId27" Type="http://schemas.openxmlformats.org/officeDocument/2006/relationships/chart" Target="charts/chart9.xml"/><Relationship Id="rId28" Type="http://schemas.openxmlformats.org/officeDocument/2006/relationships/hyperlink" Target="http://www.gsma.com" TargetMode="External"/><Relationship Id="rId29" Type="http://schemas.openxmlformats.org/officeDocument/2006/relationships/hyperlink" Target="http://www.gsma.com/mobilefordevelopmen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mailto:greenpower@gsma.com" TargetMode="External"/><Relationship Id="rId31" Type="http://schemas.openxmlformats.org/officeDocument/2006/relationships/hyperlink" Target="http://www.gsma.com/mobilefordevelopment/programmes/green-power-for-mobile" TargetMode="External"/><Relationship Id="rId32" Type="http://schemas.openxmlformats.org/officeDocument/2006/relationships/hyperlink" Target="http://www.gsma.com" TargetMode="External"/><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gsma.com/mobilefordevelopment/" TargetMode="External"/><Relationship Id="rId34" Type="http://schemas.openxmlformats.org/officeDocument/2006/relationships/hyperlink" Target="mailto:greenpower@gsma.com" TargetMode="External"/><Relationship Id="rId35" Type="http://schemas.openxmlformats.org/officeDocument/2006/relationships/hyperlink" Target="http://www.gsma.com/mobilefordevelopment/programmes/green-power-for-mobile" TargetMode="External"/><Relationship Id="rId36" Type="http://schemas.openxmlformats.org/officeDocument/2006/relationships/header" Target="header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chart" Target="charts/chart1.xml"/><Relationship Id="rId18" Type="http://schemas.openxmlformats.org/officeDocument/2006/relationships/chart" Target="charts/chart2.xml"/><Relationship Id="rId19" Type="http://schemas.openxmlformats.org/officeDocument/2006/relationships/chart" Target="charts/chart3.xml"/><Relationship Id="rId37" Type="http://schemas.openxmlformats.org/officeDocument/2006/relationships/footer" Target="footer1.xml"/><Relationship Id="rId38" Type="http://schemas.openxmlformats.org/officeDocument/2006/relationships/header" Target="header2.xml"/><Relationship Id="rId39" Type="http://schemas.openxmlformats.org/officeDocument/2006/relationships/fontTable" Target="fontTable.xml"/><Relationship Id="rId4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satish.kumar\Desktop\GPM2\0%20GPM%202.5\Technical%20Paper\Business%20Case%20Analysis%20-%201%20tenan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tish.kumar\Desktop\GPM2\0%20GPM%202.5\Technical%20Paper\Business%20Case%20Analysis%20-%201%20tenant,%20Loa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tish.kumar\Desktop\GPM2\0%20GPM%202.5\Technical%20Paper\Business%20Case%20Analysis%20-%201%20tenant,%20Load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tish.kumar\Desktop\GPM2\0%20GPM%202.5\Technical%20Paper\Business%20Case%20Analysis%20-%201%20tenant,%20Resourc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atish.kumar\Desktop\GPM2\0%20GPM%202.5\Technical%20Paper\Business%20Case%20Analysis%20-%202%20tenan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atish.kumar\Desktop\GPM2\0%20GPM%202.5\Technical%20Paper\Business%20Case%20Analysis%20-%20Multiple%20tenant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atish.kumar\Desktop\GPM2\0%20GPM%202.5\Technical%20Paper\Business%20Case%20Analysis%20-%20DG,%20Batter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atish.kumar\Desktop\GPM2\0%20GPM%202.5\Technical%20Paper\Business%20Case%20Analysis%20-%20DG,%20Battery.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atish.kumar\Desktop\GPM2\0%20GPM%202.5\Technical%20Paper\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Sheet2!$A$2</c:f>
              <c:strCache>
                <c:ptCount val="1"/>
                <c:pt idx="0">
                  <c:v>TCO (CDC)</c:v>
                </c:pt>
              </c:strCache>
            </c:strRef>
          </c:tx>
          <c:spPr>
            <a:ln w="19050">
              <a:solidFill>
                <a:sysClr val="windowText" lastClr="000000"/>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Sheet2!$B$2:$L$2</c:f>
              <c:numCache>
                <c:formatCode>#,##0</c:formatCode>
                <c:ptCount val="11"/>
                <c:pt idx="0">
                  <c:v>12050.0</c:v>
                </c:pt>
                <c:pt idx="1">
                  <c:v>25646.25</c:v>
                </c:pt>
                <c:pt idx="2">
                  <c:v>39242.5</c:v>
                </c:pt>
                <c:pt idx="3">
                  <c:v>63538.75</c:v>
                </c:pt>
                <c:pt idx="4">
                  <c:v>77135.0</c:v>
                </c:pt>
                <c:pt idx="5">
                  <c:v>90731.25</c:v>
                </c:pt>
                <c:pt idx="6">
                  <c:v>115027.5</c:v>
                </c:pt>
                <c:pt idx="7">
                  <c:v>128623.75</c:v>
                </c:pt>
                <c:pt idx="8">
                  <c:v>142220.0</c:v>
                </c:pt>
                <c:pt idx="9">
                  <c:v>166516.25</c:v>
                </c:pt>
                <c:pt idx="10">
                  <c:v>180112.5</c:v>
                </c:pt>
              </c:numCache>
            </c:numRef>
          </c:val>
          <c:smooth val="0"/>
        </c:ser>
        <c:ser>
          <c:idx val="1"/>
          <c:order val="1"/>
          <c:tx>
            <c:strRef>
              <c:f>Sheet2!$A$3</c:f>
              <c:strCache>
                <c:ptCount val="1"/>
                <c:pt idx="0">
                  <c:v>TCO (Green, 20%)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Sheet2!$B$3:$L$3</c:f>
              <c:numCache>
                <c:formatCode>#,##0</c:formatCode>
                <c:ptCount val="11"/>
                <c:pt idx="0">
                  <c:v>31875.0</c:v>
                </c:pt>
                <c:pt idx="1">
                  <c:v>39025.425</c:v>
                </c:pt>
                <c:pt idx="2">
                  <c:v>46175.85000000001</c:v>
                </c:pt>
                <c:pt idx="3">
                  <c:v>53326.275</c:v>
                </c:pt>
                <c:pt idx="4">
                  <c:v>60476.7</c:v>
                </c:pt>
                <c:pt idx="5">
                  <c:v>67627.12500000002</c:v>
                </c:pt>
                <c:pt idx="6">
                  <c:v>82877.55</c:v>
                </c:pt>
                <c:pt idx="7">
                  <c:v>90027.97500000002</c:v>
                </c:pt>
                <c:pt idx="8">
                  <c:v>97178.40000000001</c:v>
                </c:pt>
                <c:pt idx="9">
                  <c:v>112328.825</c:v>
                </c:pt>
                <c:pt idx="10">
                  <c:v>119479.25</c:v>
                </c:pt>
              </c:numCache>
            </c:numRef>
          </c:val>
          <c:smooth val="0"/>
        </c:ser>
        <c:ser>
          <c:idx val="2"/>
          <c:order val="2"/>
          <c:tx>
            <c:strRef>
              <c:f>Sheet2!$A$4</c:f>
              <c:strCache>
                <c:ptCount val="1"/>
                <c:pt idx="0">
                  <c:v>TCO (Green, 40%)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Sheet2!$B$4:$L$4</c:f>
              <c:numCache>
                <c:formatCode>#,##0</c:formatCode>
                <c:ptCount val="11"/>
                <c:pt idx="0">
                  <c:v>36625.0</c:v>
                </c:pt>
                <c:pt idx="1">
                  <c:v>42347.81875</c:v>
                </c:pt>
                <c:pt idx="2">
                  <c:v>48070.6375</c:v>
                </c:pt>
                <c:pt idx="3">
                  <c:v>53793.45625</c:v>
                </c:pt>
                <c:pt idx="4">
                  <c:v>59516.275</c:v>
                </c:pt>
                <c:pt idx="5">
                  <c:v>65239.09374999999</c:v>
                </c:pt>
                <c:pt idx="6">
                  <c:v>79061.91249999995</c:v>
                </c:pt>
                <c:pt idx="7">
                  <c:v>84784.73124999997</c:v>
                </c:pt>
                <c:pt idx="8">
                  <c:v>90507.55</c:v>
                </c:pt>
                <c:pt idx="9">
                  <c:v>104230.36875</c:v>
                </c:pt>
                <c:pt idx="10">
                  <c:v>109953.1875</c:v>
                </c:pt>
              </c:numCache>
            </c:numRef>
          </c:val>
          <c:smooth val="0"/>
        </c:ser>
        <c:ser>
          <c:idx val="3"/>
          <c:order val="3"/>
          <c:tx>
            <c:strRef>
              <c:f>Sheet2!$A$5</c:f>
              <c:strCache>
                <c:ptCount val="1"/>
                <c:pt idx="0">
                  <c:v>TCO (Green, 60%)</c:v>
                </c:pt>
              </c:strCache>
            </c:strRef>
          </c:tx>
          <c:spPr>
            <a:ln w="190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Sheet2!$B$5:$L$5</c:f>
              <c:numCache>
                <c:formatCode>#,##0</c:formatCode>
                <c:ptCount val="11"/>
                <c:pt idx="0">
                  <c:v>41375.0</c:v>
                </c:pt>
                <c:pt idx="1">
                  <c:v>45670.2125</c:v>
                </c:pt>
                <c:pt idx="2">
                  <c:v>49965.425</c:v>
                </c:pt>
                <c:pt idx="3">
                  <c:v>54260.6375</c:v>
                </c:pt>
                <c:pt idx="4">
                  <c:v>58555.85000000001</c:v>
                </c:pt>
                <c:pt idx="5">
                  <c:v>62851.06250000001</c:v>
                </c:pt>
                <c:pt idx="6">
                  <c:v>75246.27500000002</c:v>
                </c:pt>
                <c:pt idx="7">
                  <c:v>79541.48749999999</c:v>
                </c:pt>
                <c:pt idx="8">
                  <c:v>83836.7</c:v>
                </c:pt>
                <c:pt idx="9">
                  <c:v>88131.91249999995</c:v>
                </c:pt>
                <c:pt idx="10">
                  <c:v>92427.12499999998</c:v>
                </c:pt>
              </c:numCache>
            </c:numRef>
          </c:val>
          <c:smooth val="0"/>
        </c:ser>
        <c:ser>
          <c:idx val="4"/>
          <c:order val="4"/>
          <c:tx>
            <c:strRef>
              <c:f>Sheet2!$A$6</c:f>
              <c:strCache>
                <c:ptCount val="1"/>
                <c:pt idx="0">
                  <c:v>TCO (Green, 80%)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Sheet2!$B$6:$L$6</c:f>
              <c:numCache>
                <c:formatCode>#,##0</c:formatCode>
                <c:ptCount val="11"/>
                <c:pt idx="0">
                  <c:v>45875.0</c:v>
                </c:pt>
                <c:pt idx="1">
                  <c:v>48742.60625</c:v>
                </c:pt>
                <c:pt idx="2">
                  <c:v>51610.2125</c:v>
                </c:pt>
                <c:pt idx="3">
                  <c:v>54477.81875</c:v>
                </c:pt>
                <c:pt idx="4">
                  <c:v>57345.425</c:v>
                </c:pt>
                <c:pt idx="5">
                  <c:v>60213.03125</c:v>
                </c:pt>
                <c:pt idx="6">
                  <c:v>71180.63749999998</c:v>
                </c:pt>
                <c:pt idx="7">
                  <c:v>74048.24374999994</c:v>
                </c:pt>
                <c:pt idx="8">
                  <c:v>76915.84999999997</c:v>
                </c:pt>
                <c:pt idx="9">
                  <c:v>79783.45624999993</c:v>
                </c:pt>
                <c:pt idx="10">
                  <c:v>82651.06249999997</c:v>
                </c:pt>
              </c:numCache>
            </c:numRef>
          </c:val>
          <c:smooth val="0"/>
        </c:ser>
        <c:ser>
          <c:idx val="5"/>
          <c:order val="5"/>
          <c:tx>
            <c:strRef>
              <c:f>Sheet2!$A$7</c:f>
              <c:strCache>
                <c:ptCount val="1"/>
                <c:pt idx="0">
                  <c:v>TCO (Green, 100%)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Sheet2!$B$7:$L$7</c:f>
              <c:numCache>
                <c:formatCode>#,##0</c:formatCode>
                <c:ptCount val="11"/>
                <c:pt idx="0">
                  <c:v>59625.0</c:v>
                </c:pt>
                <c:pt idx="1">
                  <c:v>61065.0</c:v>
                </c:pt>
                <c:pt idx="2">
                  <c:v>62505.0</c:v>
                </c:pt>
                <c:pt idx="3">
                  <c:v>63945.0</c:v>
                </c:pt>
                <c:pt idx="4">
                  <c:v>65385.0</c:v>
                </c:pt>
                <c:pt idx="5">
                  <c:v>66825.0</c:v>
                </c:pt>
                <c:pt idx="6">
                  <c:v>85365.0</c:v>
                </c:pt>
                <c:pt idx="7">
                  <c:v>86805.0</c:v>
                </c:pt>
                <c:pt idx="8">
                  <c:v>88245.0</c:v>
                </c:pt>
                <c:pt idx="9">
                  <c:v>89685.0</c:v>
                </c:pt>
                <c:pt idx="10">
                  <c:v>91125.0</c:v>
                </c:pt>
              </c:numCache>
            </c:numRef>
          </c:val>
          <c:smooth val="0"/>
        </c:ser>
        <c:dLbls>
          <c:showLegendKey val="0"/>
          <c:showVal val="0"/>
          <c:showCatName val="0"/>
          <c:showSerName val="0"/>
          <c:showPercent val="0"/>
          <c:showBubbleSize val="0"/>
        </c:dLbls>
        <c:marker val="1"/>
        <c:smooth val="0"/>
        <c:axId val="2132563480"/>
        <c:axId val="2132532664"/>
      </c:lineChart>
      <c:catAx>
        <c:axId val="2132563480"/>
        <c:scaling>
          <c:orientation val="minMax"/>
        </c:scaling>
        <c:delete val="0"/>
        <c:axPos val="b"/>
        <c:numFmt formatCode="General" sourceLinked="1"/>
        <c:majorTickMark val="out"/>
        <c:minorTickMark val="none"/>
        <c:tickLblPos val="nextTo"/>
        <c:crossAx val="2132532664"/>
        <c:crosses val="autoZero"/>
        <c:auto val="1"/>
        <c:lblAlgn val="ctr"/>
        <c:lblOffset val="100"/>
        <c:noMultiLvlLbl val="0"/>
      </c:catAx>
      <c:valAx>
        <c:axId val="2132532664"/>
        <c:scaling>
          <c:orientation val="minMax"/>
        </c:scaling>
        <c:delete val="0"/>
        <c:axPos val="l"/>
        <c:numFmt formatCode="#,##0" sourceLinked="1"/>
        <c:majorTickMark val="out"/>
        <c:minorTickMark val="none"/>
        <c:tickLblPos val="nextTo"/>
        <c:crossAx val="2132563480"/>
        <c:crosses val="autoZero"/>
        <c:crossBetween val="midCat"/>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Sheet2!$A$2</c:f>
              <c:strCache>
                <c:ptCount val="1"/>
                <c:pt idx="0">
                  <c:v>TCO (CDC)</c:v>
                </c:pt>
              </c:strCache>
            </c:strRef>
          </c:tx>
          <c:spPr>
            <a:ln w="19050">
              <a:solidFill>
                <a:sysClr val="windowText" lastClr="000000"/>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Sheet2!$B$2:$L$2</c:f>
              <c:numCache>
                <c:formatCode>#,##0</c:formatCode>
                <c:ptCount val="11"/>
                <c:pt idx="0">
                  <c:v>12050.0</c:v>
                </c:pt>
                <c:pt idx="1">
                  <c:v>25646.25</c:v>
                </c:pt>
                <c:pt idx="2">
                  <c:v>39242.5</c:v>
                </c:pt>
                <c:pt idx="3">
                  <c:v>63538.75</c:v>
                </c:pt>
                <c:pt idx="4">
                  <c:v>77135.0</c:v>
                </c:pt>
                <c:pt idx="5">
                  <c:v>90731.25</c:v>
                </c:pt>
                <c:pt idx="6">
                  <c:v>115027.5</c:v>
                </c:pt>
                <c:pt idx="7">
                  <c:v>128623.75</c:v>
                </c:pt>
                <c:pt idx="8">
                  <c:v>142220.0</c:v>
                </c:pt>
                <c:pt idx="9">
                  <c:v>166516.25</c:v>
                </c:pt>
                <c:pt idx="10">
                  <c:v>180112.5</c:v>
                </c:pt>
              </c:numCache>
            </c:numRef>
          </c:val>
          <c:smooth val="0"/>
        </c:ser>
        <c:ser>
          <c:idx val="1"/>
          <c:order val="1"/>
          <c:tx>
            <c:strRef>
              <c:f>Sheet2!$A$3</c:f>
              <c:strCache>
                <c:ptCount val="1"/>
                <c:pt idx="0">
                  <c:v>TCO (Green, Load-25%)</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Sheet2!$B$3:$L$3</c:f>
              <c:numCache>
                <c:formatCode>#,##0</c:formatCode>
                <c:ptCount val="11"/>
                <c:pt idx="0">
                  <c:v>37625.0</c:v>
                </c:pt>
                <c:pt idx="1">
                  <c:v>41206.409375</c:v>
                </c:pt>
                <c:pt idx="2">
                  <c:v>44787.81875000001</c:v>
                </c:pt>
                <c:pt idx="3">
                  <c:v>48369.22812499999</c:v>
                </c:pt>
                <c:pt idx="4">
                  <c:v>51950.6375</c:v>
                </c:pt>
                <c:pt idx="5">
                  <c:v>55532.04687500002</c:v>
                </c:pt>
                <c:pt idx="6">
                  <c:v>67213.45624999997</c:v>
                </c:pt>
                <c:pt idx="7">
                  <c:v>70794.86562500002</c:v>
                </c:pt>
                <c:pt idx="8">
                  <c:v>74376.27500000002</c:v>
                </c:pt>
                <c:pt idx="9">
                  <c:v>77957.68437500001</c:v>
                </c:pt>
                <c:pt idx="10">
                  <c:v>81539.09375000003</c:v>
                </c:pt>
              </c:numCache>
            </c:numRef>
          </c:val>
          <c:smooth val="0"/>
        </c:ser>
        <c:ser>
          <c:idx val="2"/>
          <c:order val="2"/>
          <c:tx>
            <c:strRef>
              <c:f>Sheet2!$A$4</c:f>
              <c:strCache>
                <c:ptCount val="1"/>
                <c:pt idx="0">
                  <c:v>TCO (Green, Load+25%)</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Sheet2!$B$4:$L$4</c:f>
              <c:numCache>
                <c:formatCode>#,##0</c:formatCode>
                <c:ptCount val="11"/>
                <c:pt idx="0">
                  <c:v>44875.0</c:v>
                </c:pt>
                <c:pt idx="1">
                  <c:v>49884.015625</c:v>
                </c:pt>
                <c:pt idx="2">
                  <c:v>54893.03125</c:v>
                </c:pt>
                <c:pt idx="3">
                  <c:v>59902.046875</c:v>
                </c:pt>
                <c:pt idx="4">
                  <c:v>64911.0625</c:v>
                </c:pt>
                <c:pt idx="5">
                  <c:v>69920.078125</c:v>
                </c:pt>
                <c:pt idx="6">
                  <c:v>83029.09375</c:v>
                </c:pt>
                <c:pt idx="7">
                  <c:v>88038.109375</c:v>
                </c:pt>
                <c:pt idx="8">
                  <c:v>93047.125</c:v>
                </c:pt>
                <c:pt idx="9">
                  <c:v>98056.140625</c:v>
                </c:pt>
                <c:pt idx="10">
                  <c:v>103065.15625</c:v>
                </c:pt>
              </c:numCache>
            </c:numRef>
          </c:val>
          <c:smooth val="0"/>
        </c:ser>
        <c:ser>
          <c:idx val="3"/>
          <c:order val="3"/>
          <c:tx>
            <c:strRef>
              <c:f>Sheet2!$A$5</c:f>
              <c:strCache>
                <c:ptCount val="1"/>
                <c:pt idx="0">
                  <c:v>TCO (Green, Load+50%)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Sheet2!$B$5:$L$5</c:f>
              <c:numCache>
                <c:formatCode>#,##0</c:formatCode>
                <c:ptCount val="11"/>
                <c:pt idx="0">
                  <c:v>48375.0</c:v>
                </c:pt>
                <c:pt idx="1">
                  <c:v>54097.81875</c:v>
                </c:pt>
                <c:pt idx="2">
                  <c:v>59820.6375</c:v>
                </c:pt>
                <c:pt idx="3">
                  <c:v>65543.45624999996</c:v>
                </c:pt>
                <c:pt idx="4">
                  <c:v>71266.27500000002</c:v>
                </c:pt>
                <c:pt idx="5">
                  <c:v>76989.09375000001</c:v>
                </c:pt>
                <c:pt idx="6">
                  <c:v>90811.91249999996</c:v>
                </c:pt>
                <c:pt idx="7">
                  <c:v>96534.73125000001</c:v>
                </c:pt>
                <c:pt idx="8">
                  <c:v>102257.55</c:v>
                </c:pt>
                <c:pt idx="9">
                  <c:v>115980.3687500001</c:v>
                </c:pt>
                <c:pt idx="10">
                  <c:v>121703.1875</c:v>
                </c:pt>
              </c:numCache>
            </c:numRef>
          </c:val>
          <c:smooth val="0"/>
        </c:ser>
        <c:ser>
          <c:idx val="4"/>
          <c:order val="4"/>
          <c:tx>
            <c:strRef>
              <c:f>Sheet2!$A$6</c:f>
              <c:strCache>
                <c:ptCount val="1"/>
                <c:pt idx="0">
                  <c:v>TCO (Green, Base Load)</c:v>
                </c:pt>
              </c:strCache>
            </c:strRef>
          </c:tx>
          <c:spPr>
            <a:ln w="190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Sheet2!$B$6:$L$6</c:f>
              <c:numCache>
                <c:formatCode>#,##0</c:formatCode>
                <c:ptCount val="11"/>
                <c:pt idx="0">
                  <c:v>41375.0</c:v>
                </c:pt>
                <c:pt idx="1">
                  <c:v>45670.2125</c:v>
                </c:pt>
                <c:pt idx="2">
                  <c:v>49965.425</c:v>
                </c:pt>
                <c:pt idx="3">
                  <c:v>54260.6375</c:v>
                </c:pt>
                <c:pt idx="4">
                  <c:v>58555.85000000001</c:v>
                </c:pt>
                <c:pt idx="5">
                  <c:v>62851.06250000001</c:v>
                </c:pt>
                <c:pt idx="6">
                  <c:v>75246.27500000002</c:v>
                </c:pt>
                <c:pt idx="7">
                  <c:v>79541.48749999999</c:v>
                </c:pt>
                <c:pt idx="8">
                  <c:v>83836.7</c:v>
                </c:pt>
                <c:pt idx="9">
                  <c:v>88131.91249999995</c:v>
                </c:pt>
                <c:pt idx="10">
                  <c:v>92427.12499999998</c:v>
                </c:pt>
              </c:numCache>
            </c:numRef>
          </c:val>
          <c:smooth val="0"/>
        </c:ser>
        <c:dLbls>
          <c:showLegendKey val="0"/>
          <c:showVal val="0"/>
          <c:showCatName val="0"/>
          <c:showSerName val="0"/>
          <c:showPercent val="0"/>
          <c:showBubbleSize val="0"/>
        </c:dLbls>
        <c:marker val="1"/>
        <c:smooth val="0"/>
        <c:axId val="2133347176"/>
        <c:axId val="2133350296"/>
      </c:lineChart>
      <c:catAx>
        <c:axId val="2133347176"/>
        <c:scaling>
          <c:orientation val="minMax"/>
        </c:scaling>
        <c:delete val="0"/>
        <c:axPos val="b"/>
        <c:numFmt formatCode="General" sourceLinked="1"/>
        <c:majorTickMark val="out"/>
        <c:minorTickMark val="none"/>
        <c:tickLblPos val="nextTo"/>
        <c:crossAx val="2133350296"/>
        <c:crosses val="autoZero"/>
        <c:auto val="1"/>
        <c:lblAlgn val="ctr"/>
        <c:lblOffset val="100"/>
        <c:noMultiLvlLbl val="0"/>
      </c:catAx>
      <c:valAx>
        <c:axId val="2133350296"/>
        <c:scaling>
          <c:orientation val="minMax"/>
        </c:scaling>
        <c:delete val="0"/>
        <c:axPos val="l"/>
        <c:numFmt formatCode="#,##0" sourceLinked="1"/>
        <c:majorTickMark val="out"/>
        <c:minorTickMark val="none"/>
        <c:tickLblPos val="nextTo"/>
        <c:crossAx val="2133347176"/>
        <c:crosses val="autoZero"/>
        <c:crossBetween val="midCat"/>
      </c:valAx>
    </c:plotArea>
    <c:legend>
      <c:legendPos val="b"/>
      <c:overlay val="0"/>
    </c:legend>
    <c:plotVisOnly val="1"/>
    <c:dispBlanksAs val="gap"/>
    <c:showDLblsOverMax val="0"/>
  </c:chart>
  <c:txPr>
    <a:bodyPr/>
    <a:lstStyle/>
    <a:p>
      <a:pPr>
        <a:defRPr sz="90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Sheet2!$A$2</c:f>
              <c:strCache>
                <c:ptCount val="1"/>
                <c:pt idx="0">
                  <c:v>TCO (CDC)</c:v>
                </c:pt>
              </c:strCache>
            </c:strRef>
          </c:tx>
          <c:spPr>
            <a:ln w="19050">
              <a:solidFill>
                <a:sysClr val="windowText" lastClr="000000"/>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Sheet2!$B$2:$L$2</c:f>
              <c:numCache>
                <c:formatCode>#,##0</c:formatCode>
                <c:ptCount val="11"/>
                <c:pt idx="0">
                  <c:v>12050.0</c:v>
                </c:pt>
                <c:pt idx="1">
                  <c:v>25646.25</c:v>
                </c:pt>
                <c:pt idx="2">
                  <c:v>39242.5</c:v>
                </c:pt>
                <c:pt idx="3">
                  <c:v>63538.75</c:v>
                </c:pt>
                <c:pt idx="4">
                  <c:v>77135.0</c:v>
                </c:pt>
                <c:pt idx="5">
                  <c:v>90731.25</c:v>
                </c:pt>
                <c:pt idx="6">
                  <c:v>115027.5</c:v>
                </c:pt>
                <c:pt idx="7">
                  <c:v>128623.75</c:v>
                </c:pt>
                <c:pt idx="8">
                  <c:v>142220.0</c:v>
                </c:pt>
                <c:pt idx="9">
                  <c:v>166516.25</c:v>
                </c:pt>
                <c:pt idx="10">
                  <c:v>180112.5</c:v>
                </c:pt>
              </c:numCache>
            </c:numRef>
          </c:val>
          <c:smooth val="0"/>
        </c:ser>
        <c:ser>
          <c:idx val="1"/>
          <c:order val="1"/>
          <c:tx>
            <c:strRef>
              <c:f>Sheet2!$A$3</c:f>
              <c:strCache>
                <c:ptCount val="1"/>
                <c:pt idx="0">
                  <c:v>TCO (Green, Load-25%)</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Sheet2!$B$3:$L$3</c:f>
              <c:numCache>
                <c:formatCode>#,##0</c:formatCode>
                <c:ptCount val="11"/>
                <c:pt idx="0">
                  <c:v>41375.0</c:v>
                </c:pt>
                <c:pt idx="1">
                  <c:v>43885.7046875</c:v>
                </c:pt>
                <c:pt idx="2">
                  <c:v>46396.409375</c:v>
                </c:pt>
                <c:pt idx="3">
                  <c:v>48907.1140625</c:v>
                </c:pt>
                <c:pt idx="4">
                  <c:v>51417.81875000001</c:v>
                </c:pt>
                <c:pt idx="5">
                  <c:v>53928.5234375</c:v>
                </c:pt>
                <c:pt idx="6">
                  <c:v>64539.22812499999</c:v>
                </c:pt>
                <c:pt idx="7">
                  <c:v>67049.93281249996</c:v>
                </c:pt>
                <c:pt idx="8">
                  <c:v>69560.6375</c:v>
                </c:pt>
                <c:pt idx="9">
                  <c:v>72071.34218749995</c:v>
                </c:pt>
                <c:pt idx="10">
                  <c:v>74582.04687499991</c:v>
                </c:pt>
              </c:numCache>
            </c:numRef>
          </c:val>
          <c:smooth val="0"/>
        </c:ser>
        <c:ser>
          <c:idx val="2"/>
          <c:order val="2"/>
          <c:tx>
            <c:strRef>
              <c:f>Sheet2!$A$4</c:f>
              <c:strCache>
                <c:ptCount val="1"/>
                <c:pt idx="0">
                  <c:v>TCO (Green, Load+25%)</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Sheet2!$B$4:$L$4</c:f>
              <c:numCache>
                <c:formatCode>#,##0</c:formatCode>
                <c:ptCount val="11"/>
                <c:pt idx="0">
                  <c:v>41375.0</c:v>
                </c:pt>
                <c:pt idx="1">
                  <c:v>47454.7203125</c:v>
                </c:pt>
                <c:pt idx="2">
                  <c:v>53534.440625</c:v>
                </c:pt>
                <c:pt idx="3">
                  <c:v>59614.1609375</c:v>
                </c:pt>
                <c:pt idx="4">
                  <c:v>65693.88125</c:v>
                </c:pt>
                <c:pt idx="5">
                  <c:v>71773.6015625</c:v>
                </c:pt>
                <c:pt idx="6">
                  <c:v>85953.321875</c:v>
                </c:pt>
                <c:pt idx="7">
                  <c:v>92033.04218749994</c:v>
                </c:pt>
                <c:pt idx="8">
                  <c:v>106112.7625</c:v>
                </c:pt>
                <c:pt idx="9">
                  <c:v>112192.4828125</c:v>
                </c:pt>
                <c:pt idx="10">
                  <c:v>118272.203125</c:v>
                </c:pt>
              </c:numCache>
            </c:numRef>
          </c:val>
          <c:smooth val="0"/>
        </c:ser>
        <c:ser>
          <c:idx val="3"/>
          <c:order val="3"/>
          <c:tx>
            <c:strRef>
              <c:f>Sheet2!$A$5</c:f>
              <c:strCache>
                <c:ptCount val="1"/>
                <c:pt idx="0">
                  <c:v>TCO (Green, Load+50%)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Sheet2!$B$5:$L$5</c:f>
              <c:numCache>
                <c:formatCode>#,##0</c:formatCode>
                <c:ptCount val="11"/>
                <c:pt idx="0">
                  <c:v>41375.0</c:v>
                </c:pt>
                <c:pt idx="1">
                  <c:v>49239.22812499999</c:v>
                </c:pt>
                <c:pt idx="2">
                  <c:v>57103.45625</c:v>
                </c:pt>
                <c:pt idx="3">
                  <c:v>64967.68437500001</c:v>
                </c:pt>
                <c:pt idx="4">
                  <c:v>72831.91249999995</c:v>
                </c:pt>
                <c:pt idx="5">
                  <c:v>80696.140625</c:v>
                </c:pt>
                <c:pt idx="6">
                  <c:v>104660.36875</c:v>
                </c:pt>
                <c:pt idx="7">
                  <c:v>112524.596875</c:v>
                </c:pt>
                <c:pt idx="8">
                  <c:v>120388.825</c:v>
                </c:pt>
                <c:pt idx="9">
                  <c:v>128253.053125</c:v>
                </c:pt>
                <c:pt idx="10">
                  <c:v>136117.28125</c:v>
                </c:pt>
              </c:numCache>
            </c:numRef>
          </c:val>
          <c:smooth val="0"/>
        </c:ser>
        <c:ser>
          <c:idx val="4"/>
          <c:order val="4"/>
          <c:tx>
            <c:strRef>
              <c:f>Sheet2!$A$6</c:f>
              <c:strCache>
                <c:ptCount val="1"/>
                <c:pt idx="0">
                  <c:v>TCO (Green, Base Load)</c:v>
                </c:pt>
              </c:strCache>
            </c:strRef>
          </c:tx>
          <c:spPr>
            <a:ln w="190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Sheet2!$B$6:$L$6</c:f>
              <c:numCache>
                <c:formatCode>#,##0</c:formatCode>
                <c:ptCount val="11"/>
                <c:pt idx="0">
                  <c:v>41375.0</c:v>
                </c:pt>
                <c:pt idx="1">
                  <c:v>45670.2125</c:v>
                </c:pt>
                <c:pt idx="2">
                  <c:v>49965.425</c:v>
                </c:pt>
                <c:pt idx="3">
                  <c:v>54260.6375</c:v>
                </c:pt>
                <c:pt idx="4">
                  <c:v>58555.85000000001</c:v>
                </c:pt>
                <c:pt idx="5">
                  <c:v>62851.06250000001</c:v>
                </c:pt>
                <c:pt idx="6">
                  <c:v>75246.27500000002</c:v>
                </c:pt>
                <c:pt idx="7">
                  <c:v>79541.48749999999</c:v>
                </c:pt>
                <c:pt idx="8">
                  <c:v>83836.7</c:v>
                </c:pt>
                <c:pt idx="9">
                  <c:v>88131.91249999995</c:v>
                </c:pt>
                <c:pt idx="10">
                  <c:v>92427.12499999998</c:v>
                </c:pt>
              </c:numCache>
            </c:numRef>
          </c:val>
          <c:smooth val="0"/>
        </c:ser>
        <c:dLbls>
          <c:showLegendKey val="0"/>
          <c:showVal val="0"/>
          <c:showCatName val="0"/>
          <c:showSerName val="0"/>
          <c:showPercent val="0"/>
          <c:showBubbleSize val="0"/>
        </c:dLbls>
        <c:marker val="1"/>
        <c:smooth val="0"/>
        <c:axId val="-2124554280"/>
        <c:axId val="-2124780216"/>
      </c:lineChart>
      <c:catAx>
        <c:axId val="-2124554280"/>
        <c:scaling>
          <c:orientation val="minMax"/>
        </c:scaling>
        <c:delete val="0"/>
        <c:axPos val="b"/>
        <c:numFmt formatCode="General" sourceLinked="1"/>
        <c:majorTickMark val="out"/>
        <c:minorTickMark val="none"/>
        <c:tickLblPos val="nextTo"/>
        <c:crossAx val="-2124780216"/>
        <c:crosses val="autoZero"/>
        <c:auto val="1"/>
        <c:lblAlgn val="ctr"/>
        <c:lblOffset val="100"/>
        <c:noMultiLvlLbl val="0"/>
      </c:catAx>
      <c:valAx>
        <c:axId val="-2124780216"/>
        <c:scaling>
          <c:orientation val="minMax"/>
        </c:scaling>
        <c:delete val="0"/>
        <c:axPos val="l"/>
        <c:numFmt formatCode="#,##0" sourceLinked="1"/>
        <c:majorTickMark val="out"/>
        <c:minorTickMark val="none"/>
        <c:tickLblPos val="nextTo"/>
        <c:crossAx val="-2124554280"/>
        <c:crosses val="autoZero"/>
        <c:crossBetween val="midCat"/>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Sheet2!$A$2</c:f>
              <c:strCache>
                <c:ptCount val="1"/>
                <c:pt idx="0">
                  <c:v>TCO (CDC)</c:v>
                </c:pt>
              </c:strCache>
            </c:strRef>
          </c:tx>
          <c:spPr>
            <a:ln w="19050">
              <a:solidFill>
                <a:sysClr val="windowText" lastClr="000000"/>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Sheet2!$B$2:$L$2</c:f>
              <c:numCache>
                <c:formatCode>#,##0</c:formatCode>
                <c:ptCount val="11"/>
                <c:pt idx="0">
                  <c:v>12050.0</c:v>
                </c:pt>
                <c:pt idx="1">
                  <c:v>25646.25</c:v>
                </c:pt>
                <c:pt idx="2">
                  <c:v>39242.5</c:v>
                </c:pt>
                <c:pt idx="3">
                  <c:v>63538.75</c:v>
                </c:pt>
                <c:pt idx="4">
                  <c:v>77135.0</c:v>
                </c:pt>
                <c:pt idx="5">
                  <c:v>90731.25</c:v>
                </c:pt>
                <c:pt idx="6">
                  <c:v>115027.5</c:v>
                </c:pt>
                <c:pt idx="7">
                  <c:v>128623.75</c:v>
                </c:pt>
                <c:pt idx="8">
                  <c:v>142220.0</c:v>
                </c:pt>
                <c:pt idx="9">
                  <c:v>166516.25</c:v>
                </c:pt>
                <c:pt idx="10">
                  <c:v>180112.5</c:v>
                </c:pt>
              </c:numCache>
            </c:numRef>
          </c:val>
          <c:smooth val="0"/>
        </c:ser>
        <c:ser>
          <c:idx val="1"/>
          <c:order val="1"/>
          <c:tx>
            <c:strRef>
              <c:f>Sheet2!$A$3</c:f>
              <c:strCache>
                <c:ptCount val="1"/>
                <c:pt idx="0">
                  <c:v>TCO (Green, 3.0 kWh/m2/day)</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Sheet2!$B$3:$L$3</c:f>
              <c:numCache>
                <c:formatCode>#,##0</c:formatCode>
                <c:ptCount val="11"/>
                <c:pt idx="0">
                  <c:v>41375.0</c:v>
                </c:pt>
                <c:pt idx="1">
                  <c:v>47616.94829545458</c:v>
                </c:pt>
                <c:pt idx="2">
                  <c:v>53858.8965909091</c:v>
                </c:pt>
                <c:pt idx="3">
                  <c:v>60100.84488636364</c:v>
                </c:pt>
                <c:pt idx="4">
                  <c:v>66342.79318181817</c:v>
                </c:pt>
                <c:pt idx="5">
                  <c:v>72584.74147727265</c:v>
                </c:pt>
                <c:pt idx="6">
                  <c:v>86926.6897727273</c:v>
                </c:pt>
                <c:pt idx="7">
                  <c:v>93168.6380681819</c:v>
                </c:pt>
                <c:pt idx="8">
                  <c:v>107410.5863636364</c:v>
                </c:pt>
                <c:pt idx="9">
                  <c:v>113652.534659091</c:v>
                </c:pt>
                <c:pt idx="10">
                  <c:v>119894.4829545455</c:v>
                </c:pt>
              </c:numCache>
            </c:numRef>
          </c:val>
          <c:smooth val="0"/>
        </c:ser>
        <c:ser>
          <c:idx val="2"/>
          <c:order val="2"/>
          <c:tx>
            <c:strRef>
              <c:f>Sheet2!$A$4</c:f>
              <c:strCache>
                <c:ptCount val="1"/>
                <c:pt idx="0">
                  <c:v>TCO (Green, 4.5 kWh/m2/day)</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Sheet2!$B$4:$L$4</c:f>
              <c:numCache>
                <c:formatCode>#,##0</c:formatCode>
                <c:ptCount val="11"/>
                <c:pt idx="0">
                  <c:v>41375.0</c:v>
                </c:pt>
                <c:pt idx="1">
                  <c:v>46448.90681818182</c:v>
                </c:pt>
                <c:pt idx="2">
                  <c:v>51522.81363636364</c:v>
                </c:pt>
                <c:pt idx="3">
                  <c:v>56596.72045454544</c:v>
                </c:pt>
                <c:pt idx="4">
                  <c:v>61670.62727272727</c:v>
                </c:pt>
                <c:pt idx="5">
                  <c:v>66744.5340909091</c:v>
                </c:pt>
                <c:pt idx="6">
                  <c:v>79918.4409090909</c:v>
                </c:pt>
                <c:pt idx="7">
                  <c:v>84992.3477272727</c:v>
                </c:pt>
                <c:pt idx="8">
                  <c:v>90066.2545454545</c:v>
                </c:pt>
                <c:pt idx="9">
                  <c:v>95140.1613636364</c:v>
                </c:pt>
                <c:pt idx="10">
                  <c:v>100214.0681818182</c:v>
                </c:pt>
              </c:numCache>
            </c:numRef>
          </c:val>
          <c:smooth val="0"/>
        </c:ser>
        <c:ser>
          <c:idx val="3"/>
          <c:order val="3"/>
          <c:tx>
            <c:strRef>
              <c:f>Sheet2!$A$5</c:f>
              <c:strCache>
                <c:ptCount val="1"/>
                <c:pt idx="0">
                  <c:v>TCO (Green, 6.5 kWh/m2/day)</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Sheet2!$B$5:$L$5</c:f>
              <c:numCache>
                <c:formatCode>#,##0</c:formatCode>
                <c:ptCount val="11"/>
                <c:pt idx="0">
                  <c:v>41375.0</c:v>
                </c:pt>
                <c:pt idx="1">
                  <c:v>44891.51818181818</c:v>
                </c:pt>
                <c:pt idx="2">
                  <c:v>48408.03636363633</c:v>
                </c:pt>
                <c:pt idx="3">
                  <c:v>51924.55454545454</c:v>
                </c:pt>
                <c:pt idx="4">
                  <c:v>55441.07272727273</c:v>
                </c:pt>
                <c:pt idx="5">
                  <c:v>58957.59090909091</c:v>
                </c:pt>
                <c:pt idx="6">
                  <c:v>70574.10909090908</c:v>
                </c:pt>
                <c:pt idx="7">
                  <c:v>74090.62727272727</c:v>
                </c:pt>
                <c:pt idx="8">
                  <c:v>77607.1454545455</c:v>
                </c:pt>
                <c:pt idx="9">
                  <c:v>81123.66363636361</c:v>
                </c:pt>
                <c:pt idx="10">
                  <c:v>84640.1818181819</c:v>
                </c:pt>
              </c:numCache>
            </c:numRef>
          </c:val>
          <c:smooth val="0"/>
        </c:ser>
        <c:ser>
          <c:idx val="4"/>
          <c:order val="4"/>
          <c:tx>
            <c:strRef>
              <c:f>Sheet2!$A$6</c:f>
              <c:strCache>
                <c:ptCount val="1"/>
                <c:pt idx="0">
                  <c:v>TCO (Green, 5.5 kWh/m2/day)</c:v>
                </c:pt>
              </c:strCache>
            </c:strRef>
          </c:tx>
          <c:spPr>
            <a:ln w="190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Sheet2!$B$6:$L$6</c:f>
              <c:numCache>
                <c:formatCode>#,##0</c:formatCode>
                <c:ptCount val="11"/>
                <c:pt idx="0">
                  <c:v>41375.0</c:v>
                </c:pt>
                <c:pt idx="1">
                  <c:v>45670.2125</c:v>
                </c:pt>
                <c:pt idx="2">
                  <c:v>49965.425</c:v>
                </c:pt>
                <c:pt idx="3">
                  <c:v>54260.6375</c:v>
                </c:pt>
                <c:pt idx="4">
                  <c:v>58555.85000000001</c:v>
                </c:pt>
                <c:pt idx="5">
                  <c:v>62851.06250000001</c:v>
                </c:pt>
                <c:pt idx="6">
                  <c:v>75246.27500000002</c:v>
                </c:pt>
                <c:pt idx="7">
                  <c:v>79541.48749999999</c:v>
                </c:pt>
                <c:pt idx="8">
                  <c:v>83836.7</c:v>
                </c:pt>
                <c:pt idx="9">
                  <c:v>88131.91249999995</c:v>
                </c:pt>
                <c:pt idx="10">
                  <c:v>92427.12499999998</c:v>
                </c:pt>
              </c:numCache>
            </c:numRef>
          </c:val>
          <c:smooth val="0"/>
        </c:ser>
        <c:dLbls>
          <c:showLegendKey val="0"/>
          <c:showVal val="0"/>
          <c:showCatName val="0"/>
          <c:showSerName val="0"/>
          <c:showPercent val="0"/>
          <c:showBubbleSize val="0"/>
        </c:dLbls>
        <c:marker val="1"/>
        <c:smooth val="0"/>
        <c:axId val="-2125462072"/>
        <c:axId val="-2125458952"/>
      </c:lineChart>
      <c:catAx>
        <c:axId val="-2125462072"/>
        <c:scaling>
          <c:orientation val="minMax"/>
        </c:scaling>
        <c:delete val="0"/>
        <c:axPos val="b"/>
        <c:numFmt formatCode="General" sourceLinked="1"/>
        <c:majorTickMark val="out"/>
        <c:minorTickMark val="none"/>
        <c:tickLblPos val="nextTo"/>
        <c:crossAx val="-2125458952"/>
        <c:crosses val="autoZero"/>
        <c:auto val="1"/>
        <c:lblAlgn val="ctr"/>
        <c:lblOffset val="100"/>
        <c:noMultiLvlLbl val="0"/>
      </c:catAx>
      <c:valAx>
        <c:axId val="-2125458952"/>
        <c:scaling>
          <c:orientation val="minMax"/>
        </c:scaling>
        <c:delete val="0"/>
        <c:axPos val="l"/>
        <c:numFmt formatCode="#,##0" sourceLinked="1"/>
        <c:majorTickMark val="out"/>
        <c:minorTickMark val="none"/>
        <c:tickLblPos val="nextTo"/>
        <c:crossAx val="-2125462072"/>
        <c:crosses val="autoZero"/>
        <c:crossBetween val="midCat"/>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Sheet2!$A$2</c:f>
              <c:strCache>
                <c:ptCount val="1"/>
                <c:pt idx="0">
                  <c:v>TCO (CDC)</c:v>
                </c:pt>
              </c:strCache>
            </c:strRef>
          </c:tx>
          <c:spPr>
            <a:ln w="19050">
              <a:solidFill>
                <a:sysClr val="windowText" lastClr="000000"/>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Sheet2!$B$2:$L$2</c:f>
              <c:numCache>
                <c:formatCode>#,##0</c:formatCode>
                <c:ptCount val="11"/>
                <c:pt idx="0">
                  <c:v>15425.0</c:v>
                </c:pt>
                <c:pt idx="1">
                  <c:v>31740.5</c:v>
                </c:pt>
                <c:pt idx="2">
                  <c:v>48056.0</c:v>
                </c:pt>
                <c:pt idx="3">
                  <c:v>77771.5</c:v>
                </c:pt>
                <c:pt idx="4">
                  <c:v>94087.0</c:v>
                </c:pt>
                <c:pt idx="5">
                  <c:v>110402.5</c:v>
                </c:pt>
                <c:pt idx="6">
                  <c:v>140118.0</c:v>
                </c:pt>
                <c:pt idx="7">
                  <c:v>156433.5</c:v>
                </c:pt>
                <c:pt idx="8">
                  <c:v>172749.0</c:v>
                </c:pt>
                <c:pt idx="9">
                  <c:v>202464.5</c:v>
                </c:pt>
                <c:pt idx="10">
                  <c:v>218780.0</c:v>
                </c:pt>
              </c:numCache>
            </c:numRef>
          </c:val>
          <c:smooth val="0"/>
        </c:ser>
        <c:ser>
          <c:idx val="1"/>
          <c:order val="1"/>
          <c:tx>
            <c:strRef>
              <c:f>Sheet2!$A$3</c:f>
              <c:strCache>
                <c:ptCount val="1"/>
                <c:pt idx="0">
                  <c:v>TCO (Green, 20%)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Sheet2!$B$3:$L$3</c:f>
              <c:numCache>
                <c:formatCode>#,##0</c:formatCode>
                <c:ptCount val="11"/>
                <c:pt idx="0">
                  <c:v>46300.0</c:v>
                </c:pt>
                <c:pt idx="1">
                  <c:v>59160.85000000001</c:v>
                </c:pt>
                <c:pt idx="2">
                  <c:v>72021.70000000001</c:v>
                </c:pt>
                <c:pt idx="3">
                  <c:v>84882.55</c:v>
                </c:pt>
                <c:pt idx="4">
                  <c:v>105743.4</c:v>
                </c:pt>
                <c:pt idx="5">
                  <c:v>118604.25</c:v>
                </c:pt>
                <c:pt idx="6">
                  <c:v>148565.1</c:v>
                </c:pt>
                <c:pt idx="7">
                  <c:v>161425.95</c:v>
                </c:pt>
                <c:pt idx="8">
                  <c:v>182286.8</c:v>
                </c:pt>
                <c:pt idx="9">
                  <c:v>195147.6500000001</c:v>
                </c:pt>
                <c:pt idx="10">
                  <c:v>208008.5000000001</c:v>
                </c:pt>
              </c:numCache>
            </c:numRef>
          </c:val>
          <c:smooth val="0"/>
        </c:ser>
        <c:ser>
          <c:idx val="2"/>
          <c:order val="2"/>
          <c:tx>
            <c:strRef>
              <c:f>Sheet2!$A$4</c:f>
              <c:strCache>
                <c:ptCount val="1"/>
                <c:pt idx="0">
                  <c:v>TCO (Green, 40%)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Sheet2!$B$4:$L$4</c:f>
              <c:numCache>
                <c:formatCode>#,##0</c:formatCode>
                <c:ptCount val="11"/>
                <c:pt idx="0">
                  <c:v>55550.0</c:v>
                </c:pt>
                <c:pt idx="1">
                  <c:v>65555.6375</c:v>
                </c:pt>
                <c:pt idx="2">
                  <c:v>75561.275</c:v>
                </c:pt>
                <c:pt idx="3">
                  <c:v>85566.91249999995</c:v>
                </c:pt>
                <c:pt idx="4">
                  <c:v>95572.54999999999</c:v>
                </c:pt>
                <c:pt idx="5">
                  <c:v>113578.1875</c:v>
                </c:pt>
                <c:pt idx="6">
                  <c:v>140683.825</c:v>
                </c:pt>
                <c:pt idx="7">
                  <c:v>150689.4625</c:v>
                </c:pt>
                <c:pt idx="8">
                  <c:v>160695.1</c:v>
                </c:pt>
                <c:pt idx="9">
                  <c:v>170700.7375</c:v>
                </c:pt>
                <c:pt idx="10">
                  <c:v>180706.375</c:v>
                </c:pt>
              </c:numCache>
            </c:numRef>
          </c:val>
          <c:smooth val="0"/>
        </c:ser>
        <c:ser>
          <c:idx val="3"/>
          <c:order val="3"/>
          <c:tx>
            <c:strRef>
              <c:f>Sheet2!$A$5</c:f>
              <c:strCache>
                <c:ptCount val="1"/>
                <c:pt idx="0">
                  <c:v>TCO (Green, 60%)</c:v>
                </c:pt>
              </c:strCache>
            </c:strRef>
          </c:tx>
          <c:spPr>
            <a:ln w="190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Sheet2!$B$5:$L$5</c:f>
              <c:numCache>
                <c:formatCode>#,##0</c:formatCode>
                <c:ptCount val="11"/>
                <c:pt idx="0">
                  <c:v>64375.0</c:v>
                </c:pt>
                <c:pt idx="1">
                  <c:v>71525.425</c:v>
                </c:pt>
                <c:pt idx="2">
                  <c:v>78675.85</c:v>
                </c:pt>
                <c:pt idx="3">
                  <c:v>85826.27500000002</c:v>
                </c:pt>
                <c:pt idx="4">
                  <c:v>92976.70000000001</c:v>
                </c:pt>
                <c:pt idx="5">
                  <c:v>100127.125</c:v>
                </c:pt>
                <c:pt idx="6">
                  <c:v>124377.55</c:v>
                </c:pt>
                <c:pt idx="7">
                  <c:v>139527.975</c:v>
                </c:pt>
                <c:pt idx="8">
                  <c:v>146678.4</c:v>
                </c:pt>
                <c:pt idx="9">
                  <c:v>153828.825</c:v>
                </c:pt>
                <c:pt idx="10">
                  <c:v>160979.25</c:v>
                </c:pt>
              </c:numCache>
            </c:numRef>
          </c:val>
          <c:smooth val="0"/>
        </c:ser>
        <c:ser>
          <c:idx val="4"/>
          <c:order val="4"/>
          <c:tx>
            <c:strRef>
              <c:f>Sheet2!$A$6</c:f>
              <c:strCache>
                <c:ptCount val="1"/>
                <c:pt idx="0">
                  <c:v>TCO (Green, 80%)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Sheet2!$B$6:$L$6</c:f>
              <c:numCache>
                <c:formatCode>#,##0</c:formatCode>
                <c:ptCount val="11"/>
                <c:pt idx="0">
                  <c:v>73625.0</c:v>
                </c:pt>
                <c:pt idx="1">
                  <c:v>77920.21249999997</c:v>
                </c:pt>
                <c:pt idx="2">
                  <c:v>82215.42499999999</c:v>
                </c:pt>
                <c:pt idx="3">
                  <c:v>86510.63749999998</c:v>
                </c:pt>
                <c:pt idx="4">
                  <c:v>90805.84999999997</c:v>
                </c:pt>
                <c:pt idx="5">
                  <c:v>95101.06249999997</c:v>
                </c:pt>
                <c:pt idx="6">
                  <c:v>116496.275</c:v>
                </c:pt>
                <c:pt idx="7">
                  <c:v>120791.4875</c:v>
                </c:pt>
                <c:pt idx="8">
                  <c:v>125086.7</c:v>
                </c:pt>
                <c:pt idx="9">
                  <c:v>129381.9124999999</c:v>
                </c:pt>
                <c:pt idx="10">
                  <c:v>133677.1249999999</c:v>
                </c:pt>
              </c:numCache>
            </c:numRef>
          </c:val>
          <c:smooth val="0"/>
        </c:ser>
        <c:ser>
          <c:idx val="5"/>
          <c:order val="5"/>
          <c:tx>
            <c:strRef>
              <c:f>Sheet2!$A$7</c:f>
              <c:strCache>
                <c:ptCount val="1"/>
                <c:pt idx="0">
                  <c:v>TCO (Green, 100%)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Sheet2!$B$7:$L$7</c:f>
              <c:numCache>
                <c:formatCode>#,##0</c:formatCode>
                <c:ptCount val="11"/>
                <c:pt idx="0">
                  <c:v>100725.0</c:v>
                </c:pt>
                <c:pt idx="1">
                  <c:v>102165.0</c:v>
                </c:pt>
                <c:pt idx="2">
                  <c:v>103605.0</c:v>
                </c:pt>
                <c:pt idx="3">
                  <c:v>105045.0</c:v>
                </c:pt>
                <c:pt idx="4">
                  <c:v>106485.0</c:v>
                </c:pt>
                <c:pt idx="5">
                  <c:v>107925.0</c:v>
                </c:pt>
                <c:pt idx="6">
                  <c:v>143565.0</c:v>
                </c:pt>
                <c:pt idx="7">
                  <c:v>145005.0</c:v>
                </c:pt>
                <c:pt idx="8">
                  <c:v>146445.0</c:v>
                </c:pt>
                <c:pt idx="9">
                  <c:v>147885.0</c:v>
                </c:pt>
                <c:pt idx="10">
                  <c:v>149325.0</c:v>
                </c:pt>
              </c:numCache>
            </c:numRef>
          </c:val>
          <c:smooth val="0"/>
        </c:ser>
        <c:dLbls>
          <c:showLegendKey val="0"/>
          <c:showVal val="0"/>
          <c:showCatName val="0"/>
          <c:showSerName val="0"/>
          <c:showPercent val="0"/>
          <c:showBubbleSize val="0"/>
        </c:dLbls>
        <c:marker val="1"/>
        <c:smooth val="0"/>
        <c:axId val="-2124053000"/>
        <c:axId val="-2123988216"/>
      </c:lineChart>
      <c:catAx>
        <c:axId val="-2124053000"/>
        <c:scaling>
          <c:orientation val="minMax"/>
        </c:scaling>
        <c:delete val="0"/>
        <c:axPos val="b"/>
        <c:numFmt formatCode="General" sourceLinked="0"/>
        <c:majorTickMark val="out"/>
        <c:minorTickMark val="none"/>
        <c:tickLblPos val="nextTo"/>
        <c:crossAx val="-2123988216"/>
        <c:crosses val="autoZero"/>
        <c:auto val="1"/>
        <c:lblAlgn val="ctr"/>
        <c:lblOffset val="100"/>
        <c:noMultiLvlLbl val="0"/>
      </c:catAx>
      <c:valAx>
        <c:axId val="-2123988216"/>
        <c:scaling>
          <c:orientation val="minMax"/>
        </c:scaling>
        <c:delete val="0"/>
        <c:axPos val="l"/>
        <c:numFmt formatCode="#,##0" sourceLinked="1"/>
        <c:majorTickMark val="out"/>
        <c:minorTickMark val="none"/>
        <c:tickLblPos val="nextTo"/>
        <c:crossAx val="-2124053000"/>
        <c:crosses val="autoZero"/>
        <c:crossBetween val="midCat"/>
      </c:valAx>
    </c:plotArea>
    <c:legend>
      <c:legendPos val="b"/>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Sheet2!$A$2</c:f>
              <c:strCache>
                <c:ptCount val="1"/>
                <c:pt idx="0">
                  <c:v>TCO (CDC, 1 tenant)</c:v>
                </c:pt>
              </c:strCache>
            </c:strRef>
          </c:tx>
          <c:spPr>
            <a:ln w="19050">
              <a:solidFill>
                <a:sysClr val="windowText" lastClr="000000"/>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Sheet2!$B$2:$L$2</c:f>
              <c:numCache>
                <c:formatCode>#,##0</c:formatCode>
                <c:ptCount val="11"/>
                <c:pt idx="0">
                  <c:v>12050.0</c:v>
                </c:pt>
                <c:pt idx="1">
                  <c:v>25646.25</c:v>
                </c:pt>
                <c:pt idx="2">
                  <c:v>39242.5</c:v>
                </c:pt>
                <c:pt idx="3">
                  <c:v>63538.75</c:v>
                </c:pt>
                <c:pt idx="4">
                  <c:v>77135.0</c:v>
                </c:pt>
                <c:pt idx="5">
                  <c:v>90731.25</c:v>
                </c:pt>
                <c:pt idx="6">
                  <c:v>115027.5</c:v>
                </c:pt>
                <c:pt idx="7">
                  <c:v>128623.75</c:v>
                </c:pt>
                <c:pt idx="8">
                  <c:v>142220.0</c:v>
                </c:pt>
                <c:pt idx="9">
                  <c:v>166516.25</c:v>
                </c:pt>
                <c:pt idx="10">
                  <c:v>180112.5</c:v>
                </c:pt>
              </c:numCache>
            </c:numRef>
          </c:val>
          <c:smooth val="0"/>
        </c:ser>
        <c:ser>
          <c:idx val="1"/>
          <c:order val="1"/>
          <c:tx>
            <c:strRef>
              <c:f>Sheet2!$A$3</c:f>
              <c:strCache>
                <c:ptCount val="1"/>
                <c:pt idx="0">
                  <c:v>TCO (CDC, 2 tenant)</c:v>
                </c:pt>
              </c:strCache>
            </c:strRef>
          </c:tx>
          <c:spPr>
            <a:ln w="19050">
              <a:solidFill>
                <a:schemeClr val="tx1">
                  <a:lumMod val="50000"/>
                  <a:lumOff val="50000"/>
                </a:schemeClr>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Sheet2!$B$3:$L$3</c:f>
              <c:numCache>
                <c:formatCode>#,##0</c:formatCode>
                <c:ptCount val="11"/>
                <c:pt idx="0">
                  <c:v>16100.0</c:v>
                </c:pt>
                <c:pt idx="1">
                  <c:v>38328.5</c:v>
                </c:pt>
                <c:pt idx="2">
                  <c:v>60557.0</c:v>
                </c:pt>
                <c:pt idx="3">
                  <c:v>96185.5</c:v>
                </c:pt>
                <c:pt idx="4">
                  <c:v>118414.0</c:v>
                </c:pt>
                <c:pt idx="5">
                  <c:v>140642.5</c:v>
                </c:pt>
                <c:pt idx="6">
                  <c:v>176271.0</c:v>
                </c:pt>
                <c:pt idx="7">
                  <c:v>198499.5</c:v>
                </c:pt>
                <c:pt idx="8">
                  <c:v>220728.0</c:v>
                </c:pt>
                <c:pt idx="9">
                  <c:v>256356.5</c:v>
                </c:pt>
                <c:pt idx="10">
                  <c:v>278585.0</c:v>
                </c:pt>
              </c:numCache>
            </c:numRef>
          </c:val>
          <c:smooth val="0"/>
        </c:ser>
        <c:ser>
          <c:idx val="2"/>
          <c:order val="2"/>
          <c:tx>
            <c:strRef>
              <c:f>Sheet2!$A$4</c:f>
              <c:strCache>
                <c:ptCount val="1"/>
                <c:pt idx="0">
                  <c:v>TCO (CDC, 3 tenant)</c:v>
                </c:pt>
              </c:strCache>
            </c:strRef>
          </c:tx>
          <c:spPr>
            <a:ln w="19050">
              <a:solidFill>
                <a:schemeClr val="bg1">
                  <a:lumMod val="85000"/>
                </a:schemeClr>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Sheet2!$B$4:$L$4</c:f>
              <c:numCache>
                <c:formatCode>#,##0</c:formatCode>
                <c:ptCount val="11"/>
                <c:pt idx="0">
                  <c:v>28150.0</c:v>
                </c:pt>
                <c:pt idx="1">
                  <c:v>64504.0</c:v>
                </c:pt>
                <c:pt idx="2">
                  <c:v>100858.0</c:v>
                </c:pt>
                <c:pt idx="3">
                  <c:v>161312.0</c:v>
                </c:pt>
                <c:pt idx="4">
                  <c:v>197666.0</c:v>
                </c:pt>
                <c:pt idx="5">
                  <c:v>234020.0</c:v>
                </c:pt>
                <c:pt idx="6">
                  <c:v>294474.0</c:v>
                </c:pt>
                <c:pt idx="7">
                  <c:v>330828.0</c:v>
                </c:pt>
                <c:pt idx="8">
                  <c:v>367182.0</c:v>
                </c:pt>
                <c:pt idx="9">
                  <c:v>427636.0</c:v>
                </c:pt>
                <c:pt idx="10">
                  <c:v>463990.0</c:v>
                </c:pt>
              </c:numCache>
            </c:numRef>
          </c:val>
          <c:smooth val="0"/>
        </c:ser>
        <c:ser>
          <c:idx val="4"/>
          <c:order val="3"/>
          <c:tx>
            <c:strRef>
              <c:f>Sheet2!$A$5</c:f>
              <c:strCache>
                <c:ptCount val="1"/>
                <c:pt idx="0">
                  <c:v>TCO (Green, 1 tenant)</c:v>
                </c:pt>
              </c:strCache>
            </c:strRef>
          </c:tx>
          <c:spPr>
            <a:ln w="19050">
              <a:solidFill>
                <a:schemeClr val="accent2"/>
              </a:solidFill>
              <a:prstDash val="sysDash"/>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Sheet2!$B$5:$L$5</c:f>
              <c:numCache>
                <c:formatCode>#,##0</c:formatCode>
                <c:ptCount val="11"/>
                <c:pt idx="0">
                  <c:v>45991.31016042781</c:v>
                </c:pt>
                <c:pt idx="1">
                  <c:v>48858.9164104278</c:v>
                </c:pt>
                <c:pt idx="2">
                  <c:v>51726.5226604278</c:v>
                </c:pt>
                <c:pt idx="3">
                  <c:v>54594.1289104278</c:v>
                </c:pt>
                <c:pt idx="4">
                  <c:v>57461.73516042777</c:v>
                </c:pt>
                <c:pt idx="5">
                  <c:v>60329.3414104278</c:v>
                </c:pt>
                <c:pt idx="6">
                  <c:v>71296.94766042774</c:v>
                </c:pt>
                <c:pt idx="7">
                  <c:v>74164.55391042777</c:v>
                </c:pt>
                <c:pt idx="8">
                  <c:v>77032.16016042778</c:v>
                </c:pt>
                <c:pt idx="9">
                  <c:v>79899.76641042776</c:v>
                </c:pt>
                <c:pt idx="10">
                  <c:v>82767.37266042777</c:v>
                </c:pt>
              </c:numCache>
            </c:numRef>
          </c:val>
          <c:smooth val="0"/>
        </c:ser>
        <c:ser>
          <c:idx val="3"/>
          <c:order val="4"/>
          <c:tx>
            <c:strRef>
              <c:f>Sheet2!$A$6</c:f>
              <c:strCache>
                <c:ptCount val="1"/>
                <c:pt idx="0">
                  <c:v>TCO (Green, 2 tenant)</c:v>
                </c:pt>
              </c:strCache>
            </c:strRef>
          </c:tx>
          <c:spPr>
            <a:ln w="19050">
              <a:prstDash val="sysDash"/>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Sheet2!$B$6:$L$6</c:f>
              <c:numCache>
                <c:formatCode>#,##0</c:formatCode>
                <c:ptCount val="11"/>
                <c:pt idx="0">
                  <c:v>55666.31016042781</c:v>
                </c:pt>
                <c:pt idx="1">
                  <c:v>68776.27266042781</c:v>
                </c:pt>
                <c:pt idx="2">
                  <c:v>81886.23516042782</c:v>
                </c:pt>
                <c:pt idx="3">
                  <c:v>94996.1976604278</c:v>
                </c:pt>
                <c:pt idx="4">
                  <c:v>116106.1601604278</c:v>
                </c:pt>
                <c:pt idx="5">
                  <c:v>129216.1226604278</c:v>
                </c:pt>
                <c:pt idx="6">
                  <c:v>159426.0851604278</c:v>
                </c:pt>
                <c:pt idx="7">
                  <c:v>172536.0476604278</c:v>
                </c:pt>
                <c:pt idx="8">
                  <c:v>193646.0101604278</c:v>
                </c:pt>
                <c:pt idx="9">
                  <c:v>206755.9726604278</c:v>
                </c:pt>
                <c:pt idx="10">
                  <c:v>219865.9351604278</c:v>
                </c:pt>
              </c:numCache>
            </c:numRef>
          </c:val>
          <c:smooth val="0"/>
        </c:ser>
        <c:ser>
          <c:idx val="5"/>
          <c:order val="5"/>
          <c:tx>
            <c:strRef>
              <c:f>Sheet2!$A$7</c:f>
              <c:strCache>
                <c:ptCount val="1"/>
                <c:pt idx="0">
                  <c:v>TCO (Green, 3 tenant)</c:v>
                </c:pt>
              </c:strCache>
            </c:strRef>
          </c:tx>
          <c:spPr>
            <a:ln w="19050">
              <a:solidFill>
                <a:schemeClr val="accent5"/>
              </a:solidFill>
              <a:prstDash val="sysDash"/>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Sheet2!$B$7:$L$7</c:f>
              <c:numCache>
                <c:formatCode>#,##0</c:formatCode>
                <c:ptCount val="11"/>
                <c:pt idx="0">
                  <c:v>63766.31016042781</c:v>
                </c:pt>
                <c:pt idx="1">
                  <c:v>94927.34766042781</c:v>
                </c:pt>
                <c:pt idx="2">
                  <c:v>126088.3851604278</c:v>
                </c:pt>
                <c:pt idx="3">
                  <c:v>165249.4226604278</c:v>
                </c:pt>
                <c:pt idx="4">
                  <c:v>196410.4601604278</c:v>
                </c:pt>
                <c:pt idx="5">
                  <c:v>227571.4976604278</c:v>
                </c:pt>
                <c:pt idx="6">
                  <c:v>291932.5351604278</c:v>
                </c:pt>
                <c:pt idx="7">
                  <c:v>323093.5726604278</c:v>
                </c:pt>
                <c:pt idx="8">
                  <c:v>354254.6101604278</c:v>
                </c:pt>
                <c:pt idx="9">
                  <c:v>393415.6476604277</c:v>
                </c:pt>
                <c:pt idx="10">
                  <c:v>424576.6851604277</c:v>
                </c:pt>
              </c:numCache>
            </c:numRef>
          </c:val>
          <c:smooth val="0"/>
        </c:ser>
        <c:dLbls>
          <c:showLegendKey val="0"/>
          <c:showVal val="0"/>
          <c:showCatName val="0"/>
          <c:showSerName val="0"/>
          <c:showPercent val="0"/>
          <c:showBubbleSize val="0"/>
        </c:dLbls>
        <c:marker val="1"/>
        <c:smooth val="0"/>
        <c:axId val="-2125406984"/>
        <c:axId val="-2125403784"/>
      </c:lineChart>
      <c:catAx>
        <c:axId val="-2125406984"/>
        <c:scaling>
          <c:orientation val="minMax"/>
        </c:scaling>
        <c:delete val="0"/>
        <c:axPos val="b"/>
        <c:numFmt formatCode="General" sourceLinked="1"/>
        <c:majorTickMark val="out"/>
        <c:minorTickMark val="none"/>
        <c:tickLblPos val="nextTo"/>
        <c:crossAx val="-2125403784"/>
        <c:crosses val="autoZero"/>
        <c:auto val="1"/>
        <c:lblAlgn val="ctr"/>
        <c:lblOffset val="100"/>
        <c:noMultiLvlLbl val="0"/>
      </c:catAx>
      <c:valAx>
        <c:axId val="-2125403784"/>
        <c:scaling>
          <c:orientation val="minMax"/>
        </c:scaling>
        <c:delete val="0"/>
        <c:axPos val="l"/>
        <c:numFmt formatCode="#,##0" sourceLinked="1"/>
        <c:majorTickMark val="out"/>
        <c:minorTickMark val="none"/>
        <c:tickLblPos val="nextTo"/>
        <c:crossAx val="-2125406984"/>
        <c:crosses val="autoZero"/>
        <c:crossBetween val="midCat"/>
      </c:valAx>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Sheet2!$Q$1</c:f>
              <c:strCache>
                <c:ptCount val="1"/>
                <c:pt idx="0">
                  <c:v>DG Run hours (per yr)</c:v>
                </c:pt>
              </c:strCache>
            </c:strRef>
          </c:tx>
          <c:marker>
            <c:symbol val="none"/>
          </c:marker>
          <c:cat>
            <c:strRef>
              <c:f>Sheet2!$O$2:$O$4</c:f>
              <c:strCache>
                <c:ptCount val="3"/>
                <c:pt idx="0">
                  <c:v>DG @30%</c:v>
                </c:pt>
                <c:pt idx="1">
                  <c:v>DG @60%</c:v>
                </c:pt>
                <c:pt idx="2">
                  <c:v>DG @90%</c:v>
                </c:pt>
              </c:strCache>
            </c:strRef>
          </c:cat>
          <c:val>
            <c:numRef>
              <c:f>Sheet2!$Q$2:$Q$4</c:f>
              <c:numCache>
                <c:formatCode>#,##0</c:formatCode>
                <c:ptCount val="3"/>
                <c:pt idx="0">
                  <c:v>4471.250000000001</c:v>
                </c:pt>
                <c:pt idx="1">
                  <c:v>2235.625</c:v>
                </c:pt>
                <c:pt idx="2">
                  <c:v>1490.416666666667</c:v>
                </c:pt>
              </c:numCache>
            </c:numRef>
          </c:val>
          <c:smooth val="0"/>
        </c:ser>
        <c:ser>
          <c:idx val="2"/>
          <c:order val="1"/>
          <c:tx>
            <c:strRef>
              <c:f>Sheet2!$R$1</c:f>
              <c:strCache>
                <c:ptCount val="1"/>
                <c:pt idx="0">
                  <c:v>Diesel consumption (L/yr)</c:v>
                </c:pt>
              </c:strCache>
            </c:strRef>
          </c:tx>
          <c:marker>
            <c:symbol val="none"/>
          </c:marker>
          <c:cat>
            <c:strRef>
              <c:f>Sheet2!$O$2:$O$4</c:f>
              <c:strCache>
                <c:ptCount val="3"/>
                <c:pt idx="0">
                  <c:v>DG @30%</c:v>
                </c:pt>
                <c:pt idx="1">
                  <c:v>DG @60%</c:v>
                </c:pt>
                <c:pt idx="2">
                  <c:v>DG @90%</c:v>
                </c:pt>
              </c:strCache>
            </c:strRef>
          </c:cat>
          <c:val>
            <c:numRef>
              <c:f>Sheet2!$R$2:$R$4</c:f>
              <c:numCache>
                <c:formatCode>#,##0</c:formatCode>
                <c:ptCount val="3"/>
                <c:pt idx="0">
                  <c:v>8942.500000000001</c:v>
                </c:pt>
                <c:pt idx="1">
                  <c:v>6259.750000000001</c:v>
                </c:pt>
                <c:pt idx="2">
                  <c:v>4769.33333333333</c:v>
                </c:pt>
              </c:numCache>
            </c:numRef>
          </c:val>
          <c:smooth val="0"/>
        </c:ser>
        <c:ser>
          <c:idx val="3"/>
          <c:order val="2"/>
          <c:tx>
            <c:strRef>
              <c:f>Sheet2!$S$1</c:f>
              <c:strCache>
                <c:ptCount val="1"/>
                <c:pt idx="0">
                  <c:v>OPEX (Avg/yr)</c:v>
                </c:pt>
              </c:strCache>
            </c:strRef>
          </c:tx>
          <c:marker>
            <c:symbol val="none"/>
          </c:marker>
          <c:cat>
            <c:strRef>
              <c:f>Sheet2!$O$2:$O$4</c:f>
              <c:strCache>
                <c:ptCount val="3"/>
                <c:pt idx="0">
                  <c:v>DG @30%</c:v>
                </c:pt>
                <c:pt idx="1">
                  <c:v>DG @60%</c:v>
                </c:pt>
                <c:pt idx="2">
                  <c:v>DG @90%</c:v>
                </c:pt>
              </c:strCache>
            </c:strRef>
          </c:cat>
          <c:val>
            <c:numRef>
              <c:f>Sheet2!$S$2:$S$4</c:f>
              <c:numCache>
                <c:formatCode>#,##0</c:formatCode>
                <c:ptCount val="3"/>
                <c:pt idx="0">
                  <c:v>16800.875</c:v>
                </c:pt>
                <c:pt idx="1">
                  <c:v>10506.0625</c:v>
                </c:pt>
                <c:pt idx="2">
                  <c:v>8195.916666666662</c:v>
                </c:pt>
              </c:numCache>
            </c:numRef>
          </c:val>
          <c:smooth val="0"/>
        </c:ser>
        <c:dLbls>
          <c:showLegendKey val="0"/>
          <c:showVal val="0"/>
          <c:showCatName val="0"/>
          <c:showSerName val="0"/>
          <c:showPercent val="0"/>
          <c:showBubbleSize val="0"/>
        </c:dLbls>
        <c:marker val="1"/>
        <c:smooth val="0"/>
        <c:axId val="2131940488"/>
        <c:axId val="2131943528"/>
      </c:lineChart>
      <c:catAx>
        <c:axId val="2131940488"/>
        <c:scaling>
          <c:orientation val="minMax"/>
        </c:scaling>
        <c:delete val="0"/>
        <c:axPos val="b"/>
        <c:numFmt formatCode="General" sourceLinked="0"/>
        <c:majorTickMark val="none"/>
        <c:minorTickMark val="none"/>
        <c:tickLblPos val="nextTo"/>
        <c:crossAx val="2131943528"/>
        <c:crosses val="autoZero"/>
        <c:auto val="1"/>
        <c:lblAlgn val="ctr"/>
        <c:lblOffset val="100"/>
        <c:noMultiLvlLbl val="0"/>
      </c:catAx>
      <c:valAx>
        <c:axId val="2131943528"/>
        <c:scaling>
          <c:orientation val="minMax"/>
        </c:scaling>
        <c:delete val="0"/>
        <c:axPos val="l"/>
        <c:numFmt formatCode="#,##0" sourceLinked="1"/>
        <c:majorTickMark val="none"/>
        <c:minorTickMark val="none"/>
        <c:tickLblPos val="nextTo"/>
        <c:crossAx val="2131940488"/>
        <c:crosses val="autoZero"/>
        <c:crossBetween val="between"/>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Sheet2!$A$2</c:f>
              <c:strCache>
                <c:ptCount val="1"/>
                <c:pt idx="0">
                  <c:v>DG @30%</c:v>
                </c:pt>
              </c:strCache>
            </c:strRef>
          </c:tx>
          <c:spPr>
            <a:ln w="19050">
              <a:solidFill>
                <a:sysClr val="windowText" lastClr="000000"/>
              </a:solidFill>
            </a:ln>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Sheet2!$B$2:$L$2</c:f>
              <c:numCache>
                <c:formatCode>#,##0</c:formatCode>
                <c:ptCount val="11"/>
                <c:pt idx="0">
                  <c:v>14750.0</c:v>
                </c:pt>
                <c:pt idx="1">
                  <c:v>28610.875</c:v>
                </c:pt>
                <c:pt idx="2">
                  <c:v>42471.75</c:v>
                </c:pt>
                <c:pt idx="3">
                  <c:v>64332.625</c:v>
                </c:pt>
                <c:pt idx="4">
                  <c:v>78193.5</c:v>
                </c:pt>
                <c:pt idx="5">
                  <c:v>97454.375</c:v>
                </c:pt>
                <c:pt idx="6">
                  <c:v>119315.25</c:v>
                </c:pt>
                <c:pt idx="7">
                  <c:v>133176.125</c:v>
                </c:pt>
                <c:pt idx="8">
                  <c:v>147037.0</c:v>
                </c:pt>
                <c:pt idx="9">
                  <c:v>168897.875</c:v>
                </c:pt>
                <c:pt idx="10">
                  <c:v>182758.75</c:v>
                </c:pt>
              </c:numCache>
            </c:numRef>
          </c:val>
          <c:smooth val="0"/>
        </c:ser>
        <c:ser>
          <c:idx val="1"/>
          <c:order val="1"/>
          <c:tx>
            <c:strRef>
              <c:f>Sheet2!$A$3</c:f>
              <c:strCache>
                <c:ptCount val="1"/>
                <c:pt idx="0">
                  <c:v>DG @60%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Sheet2!$B$3:$L$3</c:f>
              <c:numCache>
                <c:formatCode>#,##0</c:formatCode>
                <c:ptCount val="11"/>
                <c:pt idx="0">
                  <c:v>14750.0</c:v>
                </c:pt>
                <c:pt idx="1">
                  <c:v>23916.0625</c:v>
                </c:pt>
                <c:pt idx="2">
                  <c:v>33082.125</c:v>
                </c:pt>
                <c:pt idx="3">
                  <c:v>42248.1875</c:v>
                </c:pt>
                <c:pt idx="4">
                  <c:v>51414.25</c:v>
                </c:pt>
                <c:pt idx="5">
                  <c:v>73980.31249999997</c:v>
                </c:pt>
                <c:pt idx="6">
                  <c:v>83146.375</c:v>
                </c:pt>
                <c:pt idx="7">
                  <c:v>92312.43749999997</c:v>
                </c:pt>
                <c:pt idx="8">
                  <c:v>101478.5</c:v>
                </c:pt>
                <c:pt idx="9">
                  <c:v>110644.5625</c:v>
                </c:pt>
                <c:pt idx="10">
                  <c:v>119810.625</c:v>
                </c:pt>
              </c:numCache>
            </c:numRef>
          </c:val>
          <c:smooth val="0"/>
        </c:ser>
        <c:ser>
          <c:idx val="2"/>
          <c:order val="2"/>
          <c:tx>
            <c:strRef>
              <c:f>Sheet2!$A$4</c:f>
              <c:strCache>
                <c:ptCount val="1"/>
                <c:pt idx="0">
                  <c:v>DG @90%</c:v>
                </c:pt>
              </c:strCache>
            </c:strRef>
          </c:tx>
          <c:spPr>
            <a:ln w="6350"/>
          </c:spPr>
          <c:marker>
            <c:symbol val="none"/>
          </c:marker>
          <c:cat>
            <c:strRef>
              <c:f>Sheet2!$B$1:$L$1</c:f>
              <c:strCache>
                <c:ptCount val="11"/>
                <c:pt idx="0">
                  <c:v>Y0</c:v>
                </c:pt>
                <c:pt idx="1">
                  <c:v>Y1</c:v>
                </c:pt>
                <c:pt idx="2">
                  <c:v>Y2</c:v>
                </c:pt>
                <c:pt idx="3">
                  <c:v>Y3</c:v>
                </c:pt>
                <c:pt idx="4">
                  <c:v>Y4</c:v>
                </c:pt>
                <c:pt idx="5">
                  <c:v>Y5</c:v>
                </c:pt>
                <c:pt idx="6">
                  <c:v>Y6</c:v>
                </c:pt>
                <c:pt idx="7">
                  <c:v>Y7</c:v>
                </c:pt>
                <c:pt idx="8">
                  <c:v>Y8</c:v>
                </c:pt>
                <c:pt idx="9">
                  <c:v>Y9</c:v>
                </c:pt>
                <c:pt idx="10">
                  <c:v>Y10</c:v>
                </c:pt>
              </c:strCache>
            </c:strRef>
          </c:cat>
          <c:val>
            <c:numRef>
              <c:f>Sheet2!$B$4:$L$4</c:f>
              <c:numCache>
                <c:formatCode>#,##0</c:formatCode>
                <c:ptCount val="11"/>
                <c:pt idx="0">
                  <c:v>14750.0</c:v>
                </c:pt>
                <c:pt idx="1">
                  <c:v>21605.91666666666</c:v>
                </c:pt>
                <c:pt idx="2">
                  <c:v>28461.83333333331</c:v>
                </c:pt>
                <c:pt idx="3">
                  <c:v>35317.75</c:v>
                </c:pt>
                <c:pt idx="4">
                  <c:v>42173.66666666663</c:v>
                </c:pt>
                <c:pt idx="5">
                  <c:v>54429.58333333332</c:v>
                </c:pt>
                <c:pt idx="6">
                  <c:v>61285.5</c:v>
                </c:pt>
                <c:pt idx="7">
                  <c:v>76141.4166666666</c:v>
                </c:pt>
                <c:pt idx="8">
                  <c:v>82997.33333333333</c:v>
                </c:pt>
                <c:pt idx="9">
                  <c:v>89853.25</c:v>
                </c:pt>
                <c:pt idx="10">
                  <c:v>96709.16666666667</c:v>
                </c:pt>
              </c:numCache>
            </c:numRef>
          </c:val>
          <c:smooth val="0"/>
        </c:ser>
        <c:dLbls>
          <c:showLegendKey val="0"/>
          <c:showVal val="0"/>
          <c:showCatName val="0"/>
          <c:showSerName val="0"/>
          <c:showPercent val="0"/>
          <c:showBubbleSize val="0"/>
        </c:dLbls>
        <c:marker val="1"/>
        <c:smooth val="0"/>
        <c:axId val="-2125380552"/>
        <c:axId val="-2125377512"/>
      </c:lineChart>
      <c:catAx>
        <c:axId val="-2125380552"/>
        <c:scaling>
          <c:orientation val="minMax"/>
        </c:scaling>
        <c:delete val="0"/>
        <c:axPos val="b"/>
        <c:numFmt formatCode="General" sourceLinked="1"/>
        <c:majorTickMark val="out"/>
        <c:minorTickMark val="none"/>
        <c:tickLblPos val="nextTo"/>
        <c:crossAx val="-2125377512"/>
        <c:crosses val="autoZero"/>
        <c:auto val="1"/>
        <c:lblAlgn val="ctr"/>
        <c:lblOffset val="100"/>
        <c:noMultiLvlLbl val="0"/>
      </c:catAx>
      <c:valAx>
        <c:axId val="-2125377512"/>
        <c:scaling>
          <c:orientation val="minMax"/>
        </c:scaling>
        <c:delete val="0"/>
        <c:axPos val="l"/>
        <c:numFmt formatCode="#,##0" sourceLinked="1"/>
        <c:majorTickMark val="out"/>
        <c:minorTickMark val="none"/>
        <c:tickLblPos val="nextTo"/>
        <c:crossAx val="-2125380552"/>
        <c:crosses val="autoZero"/>
        <c:crossBetween val="midCat"/>
      </c:valAx>
    </c:plotArea>
    <c:legend>
      <c:legendPos val="b"/>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n-GB"/>
              <a:t>Cost of Generation</a:t>
            </a:r>
          </a:p>
          <a:p>
            <a:pPr>
              <a:defRPr/>
            </a:pPr>
            <a:r>
              <a:rPr lang="en-GB"/>
              <a:t>$/ kWh</a:t>
            </a:r>
          </a:p>
        </c:rich>
      </c:tx>
      <c:overlay val="0"/>
    </c:title>
    <c:autoTitleDeleted val="0"/>
    <c:plotArea>
      <c:layout/>
      <c:barChart>
        <c:barDir val="col"/>
        <c:grouping val="clustered"/>
        <c:varyColors val="0"/>
        <c:ser>
          <c:idx val="0"/>
          <c:order val="0"/>
          <c:tx>
            <c:strRef>
              <c:f>Sheet3!$B$2</c:f>
              <c:strCache>
                <c:ptCount val="1"/>
                <c:pt idx="0">
                  <c:v>$/kWh</c:v>
                </c:pt>
              </c:strCache>
            </c:strRef>
          </c:tx>
          <c:invertIfNegative val="0"/>
          <c:cat>
            <c:strRef>
              <c:f>Sheet3!$A$3:$A$6</c:f>
              <c:strCache>
                <c:ptCount val="4"/>
                <c:pt idx="0">
                  <c:v>Solar</c:v>
                </c:pt>
                <c:pt idx="1">
                  <c:v>Wind</c:v>
                </c:pt>
                <c:pt idx="2">
                  <c:v>Fuel Cell</c:v>
                </c:pt>
                <c:pt idx="3">
                  <c:v>DG-battery</c:v>
                </c:pt>
              </c:strCache>
            </c:strRef>
          </c:cat>
          <c:val>
            <c:numRef>
              <c:f>Sheet3!$B$3:$B$6</c:f>
              <c:numCache>
                <c:formatCode>General</c:formatCode>
                <c:ptCount val="4"/>
                <c:pt idx="0">
                  <c:v>0.574</c:v>
                </c:pt>
                <c:pt idx="1">
                  <c:v>0.785</c:v>
                </c:pt>
                <c:pt idx="2">
                  <c:v>1.12</c:v>
                </c:pt>
                <c:pt idx="3">
                  <c:v>1.235</c:v>
                </c:pt>
              </c:numCache>
            </c:numRef>
          </c:val>
        </c:ser>
        <c:dLbls>
          <c:showLegendKey val="0"/>
          <c:showVal val="0"/>
          <c:showCatName val="0"/>
          <c:showSerName val="0"/>
          <c:showPercent val="0"/>
          <c:showBubbleSize val="0"/>
        </c:dLbls>
        <c:gapWidth val="150"/>
        <c:axId val="2119377944"/>
        <c:axId val="2119318312"/>
      </c:barChart>
      <c:catAx>
        <c:axId val="2119377944"/>
        <c:scaling>
          <c:orientation val="minMax"/>
        </c:scaling>
        <c:delete val="0"/>
        <c:axPos val="b"/>
        <c:numFmt formatCode="General" sourceLinked="1"/>
        <c:majorTickMark val="out"/>
        <c:minorTickMark val="none"/>
        <c:tickLblPos val="nextTo"/>
        <c:crossAx val="2119318312"/>
        <c:crosses val="autoZero"/>
        <c:auto val="1"/>
        <c:lblAlgn val="ctr"/>
        <c:lblOffset val="100"/>
        <c:noMultiLvlLbl val="0"/>
      </c:catAx>
      <c:valAx>
        <c:axId val="2119318312"/>
        <c:scaling>
          <c:orientation val="minMax"/>
        </c:scaling>
        <c:delete val="0"/>
        <c:axPos val="l"/>
        <c:majorGridlines/>
        <c:title>
          <c:tx>
            <c:rich>
              <a:bodyPr rot="0" vert="horz"/>
              <a:lstStyle/>
              <a:p>
                <a:pPr>
                  <a:defRPr/>
                </a:pPr>
                <a:r>
                  <a:rPr lang="en-GB"/>
                  <a:t>$/kWh</a:t>
                </a:r>
              </a:p>
            </c:rich>
          </c:tx>
          <c:overlay val="0"/>
        </c:title>
        <c:numFmt formatCode="General" sourceLinked="1"/>
        <c:majorTickMark val="out"/>
        <c:minorTickMark val="none"/>
        <c:tickLblPos val="nextTo"/>
        <c:crossAx val="2119377944"/>
        <c:crosses val="autoZero"/>
        <c:crossBetween val="between"/>
      </c:valAx>
    </c:plotArea>
    <c:plotVisOnly val="1"/>
    <c:dispBlanksAs val="gap"/>
    <c:showDLblsOverMax val="0"/>
  </c:chart>
  <c:txPr>
    <a:bodyPr/>
    <a:lstStyle/>
    <a:p>
      <a:pPr>
        <a:defRPr sz="900">
          <a:latin typeface="Arial" pitchFamily="34" charset="0"/>
          <a:cs typeface="Arial"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67DCB9-8845-A64B-9991-A6AE6F85F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6720</Words>
  <Characters>38309</Characters>
  <Application>Microsoft Macintosh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ivanovfilms</Company>
  <LinksUpToDate>false</LinksUpToDate>
  <CharactersWithSpaces>44940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stuart slade</dc:creator>
  <cp:lastModifiedBy>Luka Vilaj</cp:lastModifiedBy>
  <cp:revision>2</cp:revision>
  <dcterms:created xsi:type="dcterms:W3CDTF">2014-08-26T12:18:00Z</dcterms:created>
  <dcterms:modified xsi:type="dcterms:W3CDTF">2014-08-26T12:18:00Z</dcterms:modified>
</cp:coreProperties>
</file>