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27548004"/>
    <w:bookmarkStart w:id="1" w:name="_Toc327548204"/>
    <w:bookmarkStart w:id="2" w:name="_Toc330993687"/>
    <w:bookmarkStart w:id="3" w:name="_Toc74460299"/>
    <w:p w14:paraId="16579CE0" w14:textId="77777777" w:rsidR="000230A5" w:rsidRDefault="00AA53E8" w:rsidP="00391392">
      <w:pPr>
        <w:pStyle w:val="Centredtext"/>
        <w:rPr>
          <w:noProof/>
          <w:lang w:eastAsia="en-GB" w:bidi="ar-SA"/>
        </w:rPr>
      </w:pPr>
      <w:r>
        <w:rPr>
          <w:noProof/>
          <w:lang w:eastAsia="en-GB" w:bidi="ar-SA"/>
        </w:rPr>
        <mc:AlternateContent>
          <mc:Choice Requires="wps">
            <w:drawing>
              <wp:anchor distT="0" distB="0" distL="114300" distR="114300" simplePos="0" relativeHeight="251659264" behindDoc="0" locked="0" layoutInCell="1" allowOverlap="1" wp14:anchorId="5189ED51" wp14:editId="33621F55">
                <wp:simplePos x="0" y="0"/>
                <wp:positionH relativeFrom="page">
                  <wp:posOffset>932815</wp:posOffset>
                </wp:positionH>
                <wp:positionV relativeFrom="page">
                  <wp:posOffset>968375</wp:posOffset>
                </wp:positionV>
                <wp:extent cx="5805805" cy="383540"/>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3AA8" id="Rectangle 2" o:spid="_x0000_s1026" style="position:absolute;margin-left:73.45pt;margin-top:76.25pt;width:457.15pt;height:3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" fillcolor="#de002b" stroked="f">
                <w10:wrap anchorx="page" anchory="page"/>
              </v:rect>
            </w:pict>
          </mc:Fallback>
        </mc:AlternateContent>
      </w:r>
    </w:p>
    <w:p w14:paraId="54325C58" w14:textId="77777777" w:rsidR="000230A5" w:rsidRDefault="000230A5" w:rsidP="00391392">
      <w:pPr>
        <w:pStyle w:val="Centredtext"/>
        <w:rPr>
          <w:noProof/>
          <w:lang w:eastAsia="en-GB" w:bidi="ar-SA"/>
        </w:rPr>
      </w:pPr>
    </w:p>
    <w:p w14:paraId="76230B1B" w14:textId="77777777" w:rsidR="000230A5" w:rsidRDefault="000230A5" w:rsidP="00391392">
      <w:pPr>
        <w:pStyle w:val="Centredtext"/>
        <w:rPr>
          <w:noProof/>
          <w:lang w:eastAsia="en-GB" w:bidi="ar-SA"/>
        </w:rPr>
      </w:pPr>
    </w:p>
    <w:p w14:paraId="397673BD" w14:textId="3F27D4FF" w:rsidR="00AA53E8" w:rsidRDefault="00AA53E8" w:rsidP="00391392">
      <w:pPr>
        <w:pStyle w:val="Centredtext"/>
      </w:pPr>
      <w:r>
        <w:rPr>
          <w:noProof/>
          <w:lang w:eastAsia="en-GB" w:bidi="ar-SA"/>
        </w:rPr>
        <w:drawing>
          <wp:inline distT="0" distB="0" distL="0" distR="0" wp14:anchorId="5658D0BA" wp14:editId="284C4909">
            <wp:extent cx="1725168" cy="1725168"/>
            <wp:effectExtent l="0" t="0" r="8890" b="889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25168" cy="1725168"/>
                    </a:xfrm>
                    <a:prstGeom prst="rect">
                      <a:avLst/>
                    </a:prstGeom>
                  </pic:spPr>
                </pic:pic>
              </a:graphicData>
            </a:graphic>
          </wp:inline>
        </w:drawing>
      </w:r>
    </w:p>
    <w:sdt>
      <w:sdtPr>
        <w:alias w:val="Document Title"/>
        <w:tag w:val="GSMATitle"/>
        <w:id w:val="443965686"/>
        <w:placeholder>
          <w:docPart w:val="4C81D4C92EF14961AE4451FCF627016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D612F80C-BCC6-4708-8333-327470281DFD}"/>
        <w:text/>
      </w:sdtPr>
      <w:sdtContent>
        <w:p w14:paraId="031EA76B" w14:textId="5987E37D" w:rsidR="00AA53E8" w:rsidRDefault="00554611" w:rsidP="00AA53E8">
          <w:pPr>
            <w:pStyle w:val="Title"/>
            <w:rPr>
              <w:b w:val="0"/>
              <w:bCs w:val="0"/>
              <w:kern w:val="0"/>
              <w:sz w:val="22"/>
              <w:szCs w:val="20"/>
            </w:rPr>
          </w:pPr>
          <w:r>
            <w:t xml:space="preserve">IDY.24 Mobile Connect Account Takeover Protection Definition and Technical Requirements </w:t>
          </w:r>
        </w:p>
      </w:sdtContent>
    </w:sdt>
    <w:p w14:paraId="51EBE609" w14:textId="3F60EF22" w:rsidR="00AA53E8" w:rsidRDefault="00AA53E8" w:rsidP="00AA53E8">
      <w:pPr>
        <w:pStyle w:val="Title"/>
      </w:pPr>
      <w:r>
        <w:t xml:space="preserve">Version </w:t>
      </w:r>
      <w:r w:rsidR="00BA3A55">
        <w:t>2</w:t>
      </w:r>
      <w:r>
        <w:t>.0</w:t>
      </w:r>
    </w:p>
    <w:sdt>
      <w:sdtPr>
        <w:rPr>
          <w:rFonts w:cs="Arial"/>
        </w:rPr>
        <w:alias w:val="Publication Date"/>
        <w:tag w:val="GSMAPublicationDate"/>
        <w:id w:val="1209136926"/>
        <w:placeholder>
          <w:docPart w:val="57CF927A09D548BDB1345CBADA0B8FC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12-06T00:00:00Z">
          <w:dateFormat w:val="dd MMMM yyyy"/>
          <w:lid w:val="en-GB"/>
          <w:storeMappedDataAs w:val="dateTime"/>
          <w:calendar w:val="gregorian"/>
        </w:date>
      </w:sdtPr>
      <w:sdtContent>
        <w:p w14:paraId="61E4B7F7" w14:textId="4A44C4F8" w:rsidR="00AA53E8" w:rsidRDefault="00554611" w:rsidP="00AA53E8">
          <w:pPr>
            <w:pStyle w:val="Title"/>
          </w:pPr>
          <w:r>
            <w:rPr>
              <w:rFonts w:cs="Arial"/>
            </w:rPr>
            <w:t>06 December</w:t>
          </w:r>
          <w:r w:rsidR="00AA53E8">
            <w:rPr>
              <w:rFonts w:cs="Arial"/>
            </w:rPr>
            <w:t xml:space="preserve"> 2022</w:t>
          </w:r>
        </w:p>
      </w:sdtContent>
    </w:sdt>
    <w:p w14:paraId="1042ED22" w14:textId="03DAFCBE" w:rsidR="00AA53E8" w:rsidRDefault="00AA53E8" w:rsidP="00391392">
      <w:pPr>
        <w:pStyle w:val="Title"/>
      </w:pPr>
    </w:p>
    <w:p w14:paraId="69D15268" w14:textId="329C39B3" w:rsidR="00AA53E8" w:rsidRDefault="00AA53E8" w:rsidP="00AA53E8">
      <w:pPr>
        <w:pStyle w:val="Disclaimer"/>
      </w:pPr>
      <w:r w:rsidRPr="00E72D86">
        <w:t xml:space="preserve">This is a </w:t>
      </w:r>
      <w:sdt>
        <w:sdtPr>
          <w:alias w:val="Document Type"/>
          <w:tag w:val="GSMADocumentTypeTaxHTField0"/>
          <w:id w:val="801048408"/>
          <w:placeholder>
            <w:docPart w:val="03ABA2E3B5A9405EB6AA40EF2F5E796B"/>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D612F80C-BCC6-4708-8333-327470281DFD}"/>
          <w:text/>
        </w:sdtPr>
        <w:sdtContent>
          <w:r w:rsidR="00554611">
            <w:t>Non-binding Permanent Reference Document</w:t>
          </w:r>
        </w:sdtContent>
      </w:sdt>
      <w:r w:rsidRPr="00E72D86">
        <w:t xml:space="preserve"> of the GSMA</w:t>
      </w:r>
    </w:p>
    <w:p w14:paraId="1E534FCD" w14:textId="23B5534E" w:rsidR="00AA53E8" w:rsidRPr="00B3576F" w:rsidRDefault="00AA53E8" w:rsidP="00AA53E8">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EDAAC2D8537A43BC8D07AEBDF435AC41"/>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D612F80C-BCC6-4708-8333-327470281DFD}"/>
          <w:dropDownList w:lastValue="Non-confidential">
            <w:listItem w:value="[Security Classification]"/>
          </w:dropDownList>
        </w:sdtPr>
        <w:sdtContent>
          <w:proofErr w:type="gramStart"/>
          <w:r w:rsidR="00554611">
            <w:rPr>
              <w:sz w:val="22"/>
            </w:rPr>
            <w:t>Non-confidential</w:t>
          </w:r>
          <w:proofErr w:type="gramEnd"/>
        </w:sdtContent>
      </w:sdt>
    </w:p>
    <w:p w14:paraId="7D293426" w14:textId="77777777" w:rsidR="00AA53E8" w:rsidRDefault="00AA53E8" w:rsidP="00AA53E8">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30C29D5A" w14:textId="77777777" w:rsidR="00AA53E8" w:rsidRDefault="00AA53E8" w:rsidP="00AA53E8">
      <w:pPr>
        <w:pStyle w:val="DocInfo"/>
        <w:rPr>
          <w:rFonts w:eastAsia="Arial Unicode MS"/>
        </w:rPr>
      </w:pPr>
      <w:r>
        <w:t>Copyright Notice</w:t>
      </w:r>
    </w:p>
    <w:p w14:paraId="351B4FCD" w14:textId="21C58DB3" w:rsidR="00AA53E8" w:rsidRDefault="00AA53E8" w:rsidP="00AA53E8">
      <w:pPr>
        <w:pStyle w:val="CSLegal3"/>
      </w:pPr>
      <w:r>
        <w:t xml:space="preserve">Copyright © </w:t>
      </w:r>
      <w:r w:rsidRPr="007A3C76">
        <w:fldChar w:fldCharType="begin"/>
      </w:r>
      <w:r w:rsidRPr="007A3C76">
        <w:instrText xml:space="preserve"> DATE  \@ "YYYY"  \* MERGEFORMAT </w:instrText>
      </w:r>
      <w:r w:rsidRPr="007A3C76">
        <w:fldChar w:fldCharType="separate"/>
      </w:r>
      <w:r w:rsidR="00847406">
        <w:rPr>
          <w:noProof/>
        </w:rPr>
        <w:t>2022</w:t>
      </w:r>
      <w:r w:rsidRPr="007A3C76">
        <w:fldChar w:fldCharType="end"/>
      </w:r>
      <w:r w:rsidRPr="007A3C76">
        <w:t xml:space="preserve"> </w:t>
      </w:r>
      <w:r>
        <w:t>GSM Association</w:t>
      </w:r>
    </w:p>
    <w:p w14:paraId="73D13799" w14:textId="77777777" w:rsidR="00AA53E8" w:rsidRPr="00397B86" w:rsidRDefault="00AA53E8" w:rsidP="00AA53E8">
      <w:pPr>
        <w:pStyle w:val="DocInfo"/>
        <w:spacing w:before="0"/>
      </w:pPr>
      <w:r w:rsidRPr="00397B86">
        <w:t>Disclaimer</w:t>
      </w:r>
    </w:p>
    <w:p w14:paraId="3C4ED767" w14:textId="77777777" w:rsidR="00AA53E8" w:rsidRDefault="00AA53E8" w:rsidP="00AA53E8">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37AA56C5" w14:textId="77777777" w:rsidR="00AA53E8" w:rsidRDefault="00AA53E8" w:rsidP="00AA53E8">
      <w:pPr>
        <w:pStyle w:val="DocInfo"/>
        <w:spacing w:before="0"/>
      </w:pPr>
      <w:r>
        <w:t>Antitrust Notice</w:t>
      </w:r>
    </w:p>
    <w:p w14:paraId="1CCFA0EE" w14:textId="77777777" w:rsidR="00AA53E8" w:rsidRDefault="00AA53E8" w:rsidP="00AA53E8">
      <w:pPr>
        <w:pStyle w:val="CSLegal3"/>
      </w:pPr>
      <w:r>
        <w:t>The information contain herein is in full compliance with the GSM Association’s antitrust compliance policy.</w:t>
      </w:r>
      <w:bookmarkStart w:id="4" w:name="RestrictedTable2"/>
      <w:bookmarkEnd w:id="4"/>
    </w:p>
    <w:p w14:paraId="636C6C77" w14:textId="77777777" w:rsidR="00AA53E8" w:rsidRDefault="00AA53E8" w:rsidP="00391392">
      <w:pPr>
        <w:pStyle w:val="NormalParagraph"/>
      </w:pPr>
      <w:r>
        <w:rPr>
          <w:noProof/>
        </w:rPr>
        <mc:AlternateContent>
          <mc:Choice Requires="wps">
            <w:drawing>
              <wp:anchor distT="0" distB="0" distL="114300" distR="114300" simplePos="0" relativeHeight="251660288" behindDoc="0" locked="0" layoutInCell="1" allowOverlap="1" wp14:anchorId="119AB377" wp14:editId="76E3A3DC">
                <wp:simplePos x="0" y="0"/>
                <wp:positionH relativeFrom="page">
                  <wp:posOffset>932815</wp:posOffset>
                </wp:positionH>
                <wp:positionV relativeFrom="page">
                  <wp:posOffset>9249410</wp:posOffset>
                </wp:positionV>
                <wp:extent cx="5805805" cy="383540"/>
                <wp:effectExtent l="0" t="63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869BE" id="Rectangle 2" o:spid="_x0000_s1026" style="position:absolute;margin-left:73.45pt;margin-top:728.3pt;width:457.15pt;height:3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" fillcolor="#de002b" stroked="f">
                <w10:wrap anchorx="page" anchory="page"/>
              </v:rect>
            </w:pict>
          </mc:Fallback>
        </mc:AlternateContent>
      </w:r>
    </w:p>
    <w:p w14:paraId="6D94BB47" w14:textId="34750DD0" w:rsidR="00AA53E8" w:rsidRDefault="00AA53E8"/>
    <w:bookmarkEnd w:id="0"/>
    <w:bookmarkEnd w:id="1"/>
    <w:bookmarkEnd w:id="2"/>
    <w:bookmarkEnd w:id="3"/>
    <w:p w14:paraId="787263EA" w14:textId="78386D9B" w:rsidR="00AA53E8" w:rsidRDefault="00AA53E8" w:rsidP="00D05735">
      <w:pPr>
        <w:pStyle w:val="NormalParagraph"/>
      </w:pPr>
    </w:p>
    <w:p w14:paraId="27D1C919" w14:textId="77777777" w:rsidR="00AA53E8" w:rsidRDefault="00AA53E8">
      <w:pPr>
        <w:rPr>
          <w:rFonts w:ascii="Arial" w:eastAsia="SimSun" w:hAnsi="Arial"/>
          <w:sz w:val="22"/>
          <w:szCs w:val="22"/>
          <w:lang w:eastAsia="en-GB"/>
        </w:rPr>
      </w:pPr>
      <w:r>
        <w:br w:type="page"/>
      </w:r>
    </w:p>
    <w:p w14:paraId="7D864EC0" w14:textId="18F07E71" w:rsidR="005015E1" w:rsidRDefault="005015E1" w:rsidP="005015E1">
      <w:pPr>
        <w:pStyle w:val="TOCHeading"/>
      </w:pPr>
      <w:r>
        <w:lastRenderedPageBreak/>
        <w:t>Table of Contents</w:t>
      </w:r>
    </w:p>
    <w:p w14:paraId="4DD74238" w14:textId="34FD1689" w:rsidR="00554611" w:rsidRDefault="005015E1">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21260633" w:history="1">
        <w:r w:rsidR="00554611" w:rsidRPr="00CB7CD9">
          <w:rPr>
            <w:rStyle w:val="Hyperlink"/>
          </w:rPr>
          <w:t>1</w:t>
        </w:r>
        <w:r w:rsidR="00554611">
          <w:rPr>
            <w:rFonts w:asciiTheme="minorHAnsi" w:eastAsiaTheme="minorEastAsia" w:hAnsiTheme="minorHAnsi" w:cstheme="minorBidi"/>
            <w:b w:val="0"/>
            <w:lang w:eastAsia="en-GB" w:bidi="ar-SA"/>
          </w:rPr>
          <w:tab/>
        </w:r>
        <w:r w:rsidR="00554611" w:rsidRPr="00CB7CD9">
          <w:rPr>
            <w:rStyle w:val="Hyperlink"/>
          </w:rPr>
          <w:t>Introduction</w:t>
        </w:r>
        <w:r w:rsidR="00554611">
          <w:rPr>
            <w:webHidden/>
          </w:rPr>
          <w:tab/>
        </w:r>
        <w:r w:rsidR="00554611">
          <w:rPr>
            <w:webHidden/>
          </w:rPr>
          <w:fldChar w:fldCharType="begin"/>
        </w:r>
        <w:r w:rsidR="00554611">
          <w:rPr>
            <w:webHidden/>
          </w:rPr>
          <w:instrText xml:space="preserve"> PAGEREF _Toc121260633 \h </w:instrText>
        </w:r>
        <w:r w:rsidR="00554611">
          <w:rPr>
            <w:webHidden/>
          </w:rPr>
        </w:r>
        <w:r w:rsidR="00554611">
          <w:rPr>
            <w:webHidden/>
          </w:rPr>
          <w:fldChar w:fldCharType="separate"/>
        </w:r>
        <w:r w:rsidR="00847406">
          <w:rPr>
            <w:webHidden/>
          </w:rPr>
          <w:t>3</w:t>
        </w:r>
        <w:r w:rsidR="00554611">
          <w:rPr>
            <w:webHidden/>
          </w:rPr>
          <w:fldChar w:fldCharType="end"/>
        </w:r>
      </w:hyperlink>
    </w:p>
    <w:p w14:paraId="56144E23" w14:textId="460C72F6" w:rsidR="00554611" w:rsidRDefault="00554611">
      <w:pPr>
        <w:pStyle w:val="TOC2"/>
        <w:rPr>
          <w:rFonts w:asciiTheme="minorHAnsi" w:eastAsiaTheme="minorEastAsia" w:hAnsiTheme="minorHAnsi" w:cstheme="minorBidi"/>
          <w:szCs w:val="22"/>
          <w:lang w:bidi="ar-SA"/>
        </w:rPr>
      </w:pPr>
      <w:hyperlink w:anchor="_Toc121260634" w:history="1">
        <w:r w:rsidRPr="00CB7CD9">
          <w:rPr>
            <w:rStyle w:val="Hyperlink"/>
          </w:rPr>
          <w:t>1.1</w:t>
        </w:r>
        <w:r>
          <w:rPr>
            <w:rFonts w:asciiTheme="minorHAnsi" w:eastAsiaTheme="minorEastAsia" w:hAnsiTheme="minorHAnsi" w:cstheme="minorBidi"/>
            <w:szCs w:val="22"/>
            <w:lang w:bidi="ar-SA"/>
          </w:rPr>
          <w:tab/>
        </w:r>
        <w:r w:rsidRPr="00CB7CD9">
          <w:rPr>
            <w:rStyle w:val="Hyperlink"/>
          </w:rPr>
          <w:t>Overview</w:t>
        </w:r>
        <w:r>
          <w:rPr>
            <w:webHidden/>
          </w:rPr>
          <w:tab/>
        </w:r>
        <w:r>
          <w:rPr>
            <w:webHidden/>
          </w:rPr>
          <w:fldChar w:fldCharType="begin"/>
        </w:r>
        <w:r>
          <w:rPr>
            <w:webHidden/>
          </w:rPr>
          <w:instrText xml:space="preserve"> PAGEREF _Toc121260634 \h </w:instrText>
        </w:r>
        <w:r>
          <w:rPr>
            <w:webHidden/>
          </w:rPr>
        </w:r>
        <w:r>
          <w:rPr>
            <w:webHidden/>
          </w:rPr>
          <w:fldChar w:fldCharType="separate"/>
        </w:r>
        <w:r w:rsidR="00847406">
          <w:rPr>
            <w:webHidden/>
          </w:rPr>
          <w:t>3</w:t>
        </w:r>
        <w:r>
          <w:rPr>
            <w:webHidden/>
          </w:rPr>
          <w:fldChar w:fldCharType="end"/>
        </w:r>
      </w:hyperlink>
    </w:p>
    <w:p w14:paraId="64066EDA" w14:textId="18E21B16" w:rsidR="00554611" w:rsidRDefault="00554611">
      <w:pPr>
        <w:pStyle w:val="TOC2"/>
        <w:rPr>
          <w:rFonts w:asciiTheme="minorHAnsi" w:eastAsiaTheme="minorEastAsia" w:hAnsiTheme="minorHAnsi" w:cstheme="minorBidi"/>
          <w:szCs w:val="22"/>
          <w:lang w:bidi="ar-SA"/>
        </w:rPr>
      </w:pPr>
      <w:hyperlink w:anchor="_Toc121260635" w:history="1">
        <w:r w:rsidRPr="00CB7CD9">
          <w:rPr>
            <w:rStyle w:val="Hyperlink"/>
          </w:rPr>
          <w:t>1.2</w:t>
        </w:r>
        <w:r>
          <w:rPr>
            <w:rFonts w:asciiTheme="minorHAnsi" w:eastAsiaTheme="minorEastAsia" w:hAnsiTheme="minorHAnsi" w:cstheme="minorBidi"/>
            <w:szCs w:val="22"/>
            <w:lang w:bidi="ar-SA"/>
          </w:rPr>
          <w:tab/>
        </w:r>
        <w:r w:rsidRPr="00CB7CD9">
          <w:rPr>
            <w:rStyle w:val="Hyperlink"/>
          </w:rPr>
          <w:t>Scope</w:t>
        </w:r>
        <w:r>
          <w:rPr>
            <w:webHidden/>
          </w:rPr>
          <w:tab/>
        </w:r>
        <w:r>
          <w:rPr>
            <w:webHidden/>
          </w:rPr>
          <w:fldChar w:fldCharType="begin"/>
        </w:r>
        <w:r>
          <w:rPr>
            <w:webHidden/>
          </w:rPr>
          <w:instrText xml:space="preserve"> PAGEREF _Toc121260635 \h </w:instrText>
        </w:r>
        <w:r>
          <w:rPr>
            <w:webHidden/>
          </w:rPr>
        </w:r>
        <w:r>
          <w:rPr>
            <w:webHidden/>
          </w:rPr>
          <w:fldChar w:fldCharType="separate"/>
        </w:r>
        <w:r w:rsidR="00847406">
          <w:rPr>
            <w:webHidden/>
          </w:rPr>
          <w:t>3</w:t>
        </w:r>
        <w:r>
          <w:rPr>
            <w:webHidden/>
          </w:rPr>
          <w:fldChar w:fldCharType="end"/>
        </w:r>
      </w:hyperlink>
    </w:p>
    <w:p w14:paraId="65D78EBD" w14:textId="6F637F0D" w:rsidR="00554611" w:rsidRDefault="00554611">
      <w:pPr>
        <w:pStyle w:val="TOC2"/>
        <w:rPr>
          <w:rFonts w:asciiTheme="minorHAnsi" w:eastAsiaTheme="minorEastAsia" w:hAnsiTheme="minorHAnsi" w:cstheme="minorBidi"/>
          <w:szCs w:val="22"/>
          <w:lang w:bidi="ar-SA"/>
        </w:rPr>
      </w:pPr>
      <w:hyperlink w:anchor="_Toc121260636" w:history="1">
        <w:r w:rsidRPr="00CB7CD9">
          <w:rPr>
            <w:rStyle w:val="Hyperlink"/>
          </w:rPr>
          <w:t>1.3</w:t>
        </w:r>
        <w:r>
          <w:rPr>
            <w:rFonts w:asciiTheme="minorHAnsi" w:eastAsiaTheme="minorEastAsia" w:hAnsiTheme="minorHAnsi" w:cstheme="minorBidi"/>
            <w:szCs w:val="22"/>
            <w:lang w:bidi="ar-SA"/>
          </w:rPr>
          <w:tab/>
        </w:r>
        <w:r w:rsidRPr="00CB7CD9">
          <w:rPr>
            <w:rStyle w:val="Hyperlink"/>
          </w:rPr>
          <w:t>Abbreviations</w:t>
        </w:r>
        <w:r>
          <w:rPr>
            <w:webHidden/>
          </w:rPr>
          <w:tab/>
        </w:r>
        <w:r>
          <w:rPr>
            <w:webHidden/>
          </w:rPr>
          <w:fldChar w:fldCharType="begin"/>
        </w:r>
        <w:r>
          <w:rPr>
            <w:webHidden/>
          </w:rPr>
          <w:instrText xml:space="preserve"> PAGEREF _Toc121260636 \h </w:instrText>
        </w:r>
        <w:r>
          <w:rPr>
            <w:webHidden/>
          </w:rPr>
        </w:r>
        <w:r>
          <w:rPr>
            <w:webHidden/>
          </w:rPr>
          <w:fldChar w:fldCharType="separate"/>
        </w:r>
        <w:r w:rsidR="00847406">
          <w:rPr>
            <w:webHidden/>
          </w:rPr>
          <w:t>3</w:t>
        </w:r>
        <w:r>
          <w:rPr>
            <w:webHidden/>
          </w:rPr>
          <w:fldChar w:fldCharType="end"/>
        </w:r>
      </w:hyperlink>
    </w:p>
    <w:p w14:paraId="198BD7EE" w14:textId="51E7BCCB" w:rsidR="00554611" w:rsidRDefault="00554611">
      <w:pPr>
        <w:pStyle w:val="TOC2"/>
        <w:rPr>
          <w:rFonts w:asciiTheme="minorHAnsi" w:eastAsiaTheme="minorEastAsia" w:hAnsiTheme="minorHAnsi" w:cstheme="minorBidi"/>
          <w:szCs w:val="22"/>
          <w:lang w:bidi="ar-SA"/>
        </w:rPr>
      </w:pPr>
      <w:hyperlink w:anchor="_Toc121260637" w:history="1">
        <w:r w:rsidRPr="00CB7CD9">
          <w:rPr>
            <w:rStyle w:val="Hyperlink"/>
          </w:rPr>
          <w:t>1.4</w:t>
        </w:r>
        <w:r>
          <w:rPr>
            <w:rFonts w:asciiTheme="minorHAnsi" w:eastAsiaTheme="minorEastAsia" w:hAnsiTheme="minorHAnsi" w:cstheme="minorBidi"/>
            <w:szCs w:val="22"/>
            <w:lang w:bidi="ar-SA"/>
          </w:rPr>
          <w:tab/>
        </w:r>
        <w:r w:rsidRPr="00CB7CD9">
          <w:rPr>
            <w:rStyle w:val="Hyperlink"/>
          </w:rPr>
          <w:t>Audience</w:t>
        </w:r>
        <w:r>
          <w:rPr>
            <w:webHidden/>
          </w:rPr>
          <w:tab/>
        </w:r>
        <w:r>
          <w:rPr>
            <w:webHidden/>
          </w:rPr>
          <w:fldChar w:fldCharType="begin"/>
        </w:r>
        <w:r>
          <w:rPr>
            <w:webHidden/>
          </w:rPr>
          <w:instrText xml:space="preserve"> PAGEREF _Toc121260637 \h </w:instrText>
        </w:r>
        <w:r>
          <w:rPr>
            <w:webHidden/>
          </w:rPr>
        </w:r>
        <w:r>
          <w:rPr>
            <w:webHidden/>
          </w:rPr>
          <w:fldChar w:fldCharType="separate"/>
        </w:r>
        <w:r w:rsidR="00847406">
          <w:rPr>
            <w:webHidden/>
          </w:rPr>
          <w:t>4</w:t>
        </w:r>
        <w:r>
          <w:rPr>
            <w:webHidden/>
          </w:rPr>
          <w:fldChar w:fldCharType="end"/>
        </w:r>
      </w:hyperlink>
    </w:p>
    <w:p w14:paraId="24E79530" w14:textId="0F7BD1CC" w:rsidR="00554611" w:rsidRDefault="00554611">
      <w:pPr>
        <w:pStyle w:val="TOC2"/>
        <w:rPr>
          <w:rFonts w:asciiTheme="minorHAnsi" w:eastAsiaTheme="minorEastAsia" w:hAnsiTheme="minorHAnsi" w:cstheme="minorBidi"/>
          <w:szCs w:val="22"/>
          <w:lang w:bidi="ar-SA"/>
        </w:rPr>
      </w:pPr>
      <w:hyperlink w:anchor="_Toc121260638" w:history="1">
        <w:r w:rsidRPr="00CB7CD9">
          <w:rPr>
            <w:rStyle w:val="Hyperlink"/>
          </w:rPr>
          <w:t>1.5</w:t>
        </w:r>
        <w:r>
          <w:rPr>
            <w:rFonts w:asciiTheme="minorHAnsi" w:eastAsiaTheme="minorEastAsia" w:hAnsiTheme="minorHAnsi" w:cstheme="minorBidi"/>
            <w:szCs w:val="22"/>
            <w:lang w:bidi="ar-SA"/>
          </w:rPr>
          <w:tab/>
        </w:r>
        <w:r w:rsidRPr="00CB7CD9">
          <w:rPr>
            <w:rStyle w:val="Hyperlink"/>
          </w:rPr>
          <w:t>Relationship to Other Mobile Connect Documentation</w:t>
        </w:r>
        <w:r>
          <w:rPr>
            <w:webHidden/>
          </w:rPr>
          <w:tab/>
        </w:r>
        <w:r>
          <w:rPr>
            <w:webHidden/>
          </w:rPr>
          <w:fldChar w:fldCharType="begin"/>
        </w:r>
        <w:r>
          <w:rPr>
            <w:webHidden/>
          </w:rPr>
          <w:instrText xml:space="preserve"> PAGEREF _Toc121260638 \h </w:instrText>
        </w:r>
        <w:r>
          <w:rPr>
            <w:webHidden/>
          </w:rPr>
        </w:r>
        <w:r>
          <w:rPr>
            <w:webHidden/>
          </w:rPr>
          <w:fldChar w:fldCharType="separate"/>
        </w:r>
        <w:r w:rsidR="00847406">
          <w:rPr>
            <w:webHidden/>
          </w:rPr>
          <w:t>4</w:t>
        </w:r>
        <w:r>
          <w:rPr>
            <w:webHidden/>
          </w:rPr>
          <w:fldChar w:fldCharType="end"/>
        </w:r>
      </w:hyperlink>
    </w:p>
    <w:p w14:paraId="6353101A" w14:textId="65D71F16" w:rsidR="00554611" w:rsidRDefault="00554611">
      <w:pPr>
        <w:pStyle w:val="TOC2"/>
        <w:rPr>
          <w:rFonts w:asciiTheme="minorHAnsi" w:eastAsiaTheme="minorEastAsia" w:hAnsiTheme="minorHAnsi" w:cstheme="minorBidi"/>
          <w:szCs w:val="22"/>
          <w:lang w:bidi="ar-SA"/>
        </w:rPr>
      </w:pPr>
      <w:hyperlink w:anchor="_Toc121260639" w:history="1">
        <w:r w:rsidRPr="00CB7CD9">
          <w:rPr>
            <w:rStyle w:val="Hyperlink"/>
          </w:rPr>
          <w:t>1.6</w:t>
        </w:r>
        <w:r>
          <w:rPr>
            <w:rFonts w:asciiTheme="minorHAnsi" w:eastAsiaTheme="minorEastAsia" w:hAnsiTheme="minorHAnsi" w:cstheme="minorBidi"/>
            <w:szCs w:val="22"/>
            <w:lang w:bidi="ar-SA"/>
          </w:rPr>
          <w:tab/>
        </w:r>
        <w:r w:rsidRPr="00CB7CD9">
          <w:rPr>
            <w:rStyle w:val="Hyperlink"/>
          </w:rPr>
          <w:t>Conventions</w:t>
        </w:r>
        <w:r>
          <w:rPr>
            <w:webHidden/>
          </w:rPr>
          <w:tab/>
        </w:r>
        <w:r>
          <w:rPr>
            <w:webHidden/>
          </w:rPr>
          <w:fldChar w:fldCharType="begin"/>
        </w:r>
        <w:r>
          <w:rPr>
            <w:webHidden/>
          </w:rPr>
          <w:instrText xml:space="preserve"> PAGEREF _Toc121260639 \h </w:instrText>
        </w:r>
        <w:r>
          <w:rPr>
            <w:webHidden/>
          </w:rPr>
        </w:r>
        <w:r>
          <w:rPr>
            <w:webHidden/>
          </w:rPr>
          <w:fldChar w:fldCharType="separate"/>
        </w:r>
        <w:r w:rsidR="00847406">
          <w:rPr>
            <w:webHidden/>
          </w:rPr>
          <w:t>5</w:t>
        </w:r>
        <w:r>
          <w:rPr>
            <w:webHidden/>
          </w:rPr>
          <w:fldChar w:fldCharType="end"/>
        </w:r>
      </w:hyperlink>
    </w:p>
    <w:p w14:paraId="049DA218" w14:textId="409FCA8A" w:rsidR="00554611" w:rsidRDefault="00554611">
      <w:pPr>
        <w:pStyle w:val="TOC2"/>
        <w:rPr>
          <w:rFonts w:asciiTheme="minorHAnsi" w:eastAsiaTheme="minorEastAsia" w:hAnsiTheme="minorHAnsi" w:cstheme="minorBidi"/>
          <w:szCs w:val="22"/>
          <w:lang w:bidi="ar-SA"/>
        </w:rPr>
      </w:pPr>
      <w:hyperlink w:anchor="_Toc121260640" w:history="1">
        <w:r w:rsidRPr="00CB7CD9">
          <w:rPr>
            <w:rStyle w:val="Hyperlink"/>
          </w:rPr>
          <w:t>1.7</w:t>
        </w:r>
        <w:r>
          <w:rPr>
            <w:rFonts w:asciiTheme="minorHAnsi" w:eastAsiaTheme="minorEastAsia" w:hAnsiTheme="minorHAnsi" w:cstheme="minorBidi"/>
            <w:szCs w:val="22"/>
            <w:lang w:bidi="ar-SA"/>
          </w:rPr>
          <w:tab/>
        </w:r>
        <w:r w:rsidRPr="00CB7CD9">
          <w:rPr>
            <w:rStyle w:val="Hyperlink"/>
          </w:rPr>
          <w:t>Terminology &amp; Definitions</w:t>
        </w:r>
        <w:r>
          <w:rPr>
            <w:webHidden/>
          </w:rPr>
          <w:tab/>
        </w:r>
        <w:r>
          <w:rPr>
            <w:webHidden/>
          </w:rPr>
          <w:fldChar w:fldCharType="begin"/>
        </w:r>
        <w:r>
          <w:rPr>
            <w:webHidden/>
          </w:rPr>
          <w:instrText xml:space="preserve"> PAGEREF _Toc121260640 \h </w:instrText>
        </w:r>
        <w:r>
          <w:rPr>
            <w:webHidden/>
          </w:rPr>
        </w:r>
        <w:r>
          <w:rPr>
            <w:webHidden/>
          </w:rPr>
          <w:fldChar w:fldCharType="separate"/>
        </w:r>
        <w:r w:rsidR="00847406">
          <w:rPr>
            <w:webHidden/>
          </w:rPr>
          <w:t>5</w:t>
        </w:r>
        <w:r>
          <w:rPr>
            <w:webHidden/>
          </w:rPr>
          <w:fldChar w:fldCharType="end"/>
        </w:r>
      </w:hyperlink>
    </w:p>
    <w:p w14:paraId="2E6034BB" w14:textId="5BD0E953" w:rsidR="00554611" w:rsidRDefault="00554611">
      <w:pPr>
        <w:pStyle w:val="TOC2"/>
        <w:rPr>
          <w:rFonts w:asciiTheme="minorHAnsi" w:eastAsiaTheme="minorEastAsia" w:hAnsiTheme="minorHAnsi" w:cstheme="minorBidi"/>
          <w:szCs w:val="22"/>
          <w:lang w:bidi="ar-SA"/>
        </w:rPr>
      </w:pPr>
      <w:hyperlink w:anchor="_Toc121260641" w:history="1">
        <w:r w:rsidRPr="00CB7CD9">
          <w:rPr>
            <w:rStyle w:val="Hyperlink"/>
          </w:rPr>
          <w:t>1.8</w:t>
        </w:r>
        <w:r>
          <w:rPr>
            <w:rFonts w:asciiTheme="minorHAnsi" w:eastAsiaTheme="minorEastAsia" w:hAnsiTheme="minorHAnsi" w:cstheme="minorBidi"/>
            <w:szCs w:val="22"/>
            <w:lang w:bidi="ar-SA"/>
          </w:rPr>
          <w:tab/>
        </w:r>
        <w:r w:rsidRPr="00CB7CD9">
          <w:rPr>
            <w:rStyle w:val="Hyperlink"/>
          </w:rPr>
          <w:t>References</w:t>
        </w:r>
        <w:r>
          <w:rPr>
            <w:webHidden/>
          </w:rPr>
          <w:tab/>
        </w:r>
        <w:r>
          <w:rPr>
            <w:webHidden/>
          </w:rPr>
          <w:fldChar w:fldCharType="begin"/>
        </w:r>
        <w:r>
          <w:rPr>
            <w:webHidden/>
          </w:rPr>
          <w:instrText xml:space="preserve"> PAGEREF _Toc121260641 \h </w:instrText>
        </w:r>
        <w:r>
          <w:rPr>
            <w:webHidden/>
          </w:rPr>
        </w:r>
        <w:r>
          <w:rPr>
            <w:webHidden/>
          </w:rPr>
          <w:fldChar w:fldCharType="separate"/>
        </w:r>
        <w:r w:rsidR="00847406">
          <w:rPr>
            <w:webHidden/>
          </w:rPr>
          <w:t>5</w:t>
        </w:r>
        <w:r>
          <w:rPr>
            <w:webHidden/>
          </w:rPr>
          <w:fldChar w:fldCharType="end"/>
        </w:r>
      </w:hyperlink>
    </w:p>
    <w:p w14:paraId="3BD3C4BF" w14:textId="62F30204" w:rsidR="00554611" w:rsidRDefault="00554611">
      <w:pPr>
        <w:pStyle w:val="TOC1"/>
        <w:rPr>
          <w:rFonts w:asciiTheme="minorHAnsi" w:eastAsiaTheme="minorEastAsia" w:hAnsiTheme="minorHAnsi" w:cstheme="minorBidi"/>
          <w:b w:val="0"/>
          <w:lang w:eastAsia="en-GB" w:bidi="ar-SA"/>
        </w:rPr>
      </w:pPr>
      <w:hyperlink w:anchor="_Toc121260642" w:history="1">
        <w:r w:rsidRPr="00CB7CD9">
          <w:rPr>
            <w:rStyle w:val="Hyperlink"/>
          </w:rPr>
          <w:t>2</w:t>
        </w:r>
        <w:r>
          <w:rPr>
            <w:rFonts w:asciiTheme="minorHAnsi" w:eastAsiaTheme="minorEastAsia" w:hAnsiTheme="minorHAnsi" w:cstheme="minorBidi"/>
            <w:b w:val="0"/>
            <w:lang w:eastAsia="en-GB" w:bidi="ar-SA"/>
          </w:rPr>
          <w:tab/>
        </w:r>
        <w:r w:rsidRPr="00CB7CD9">
          <w:rPr>
            <w:rStyle w:val="Hyperlink"/>
          </w:rPr>
          <w:t>Mobile Connect Account Takeover Protection (ATP)</w:t>
        </w:r>
        <w:r>
          <w:rPr>
            <w:webHidden/>
          </w:rPr>
          <w:tab/>
        </w:r>
        <w:r>
          <w:rPr>
            <w:webHidden/>
          </w:rPr>
          <w:fldChar w:fldCharType="begin"/>
        </w:r>
        <w:r>
          <w:rPr>
            <w:webHidden/>
          </w:rPr>
          <w:instrText xml:space="preserve"> PAGEREF _Toc121260642 \h </w:instrText>
        </w:r>
        <w:r>
          <w:rPr>
            <w:webHidden/>
          </w:rPr>
        </w:r>
        <w:r>
          <w:rPr>
            <w:webHidden/>
          </w:rPr>
          <w:fldChar w:fldCharType="separate"/>
        </w:r>
        <w:r w:rsidR="00847406">
          <w:rPr>
            <w:webHidden/>
          </w:rPr>
          <w:t>6</w:t>
        </w:r>
        <w:r>
          <w:rPr>
            <w:webHidden/>
          </w:rPr>
          <w:fldChar w:fldCharType="end"/>
        </w:r>
      </w:hyperlink>
    </w:p>
    <w:p w14:paraId="462FB2EC" w14:textId="0672DAFD" w:rsidR="00554611" w:rsidRDefault="00554611">
      <w:pPr>
        <w:pStyle w:val="TOC2"/>
        <w:rPr>
          <w:rFonts w:asciiTheme="minorHAnsi" w:eastAsiaTheme="minorEastAsia" w:hAnsiTheme="minorHAnsi" w:cstheme="minorBidi"/>
          <w:szCs w:val="22"/>
          <w:lang w:bidi="ar-SA"/>
        </w:rPr>
      </w:pPr>
      <w:hyperlink w:anchor="_Toc121260643" w:history="1">
        <w:r w:rsidRPr="00CB7CD9">
          <w:rPr>
            <w:rStyle w:val="Hyperlink"/>
          </w:rPr>
          <w:t>2.1</w:t>
        </w:r>
        <w:r>
          <w:rPr>
            <w:rFonts w:asciiTheme="minorHAnsi" w:eastAsiaTheme="minorEastAsia" w:hAnsiTheme="minorHAnsi" w:cstheme="minorBidi"/>
            <w:szCs w:val="22"/>
            <w:lang w:bidi="ar-SA"/>
          </w:rPr>
          <w:tab/>
        </w:r>
        <w:r w:rsidRPr="00CB7CD9">
          <w:rPr>
            <w:rStyle w:val="Hyperlink"/>
          </w:rPr>
          <w:t>Use Case Examples</w:t>
        </w:r>
        <w:r>
          <w:rPr>
            <w:webHidden/>
          </w:rPr>
          <w:tab/>
        </w:r>
        <w:r>
          <w:rPr>
            <w:webHidden/>
          </w:rPr>
          <w:fldChar w:fldCharType="begin"/>
        </w:r>
        <w:r>
          <w:rPr>
            <w:webHidden/>
          </w:rPr>
          <w:instrText xml:space="preserve"> PAGEREF _Toc121260643 \h </w:instrText>
        </w:r>
        <w:r>
          <w:rPr>
            <w:webHidden/>
          </w:rPr>
        </w:r>
        <w:r>
          <w:rPr>
            <w:webHidden/>
          </w:rPr>
          <w:fldChar w:fldCharType="separate"/>
        </w:r>
        <w:r w:rsidR="00847406">
          <w:rPr>
            <w:webHidden/>
          </w:rPr>
          <w:t>6</w:t>
        </w:r>
        <w:r>
          <w:rPr>
            <w:webHidden/>
          </w:rPr>
          <w:fldChar w:fldCharType="end"/>
        </w:r>
      </w:hyperlink>
    </w:p>
    <w:p w14:paraId="2EEFD1EA" w14:textId="02560A59" w:rsidR="00554611" w:rsidRDefault="00554611">
      <w:pPr>
        <w:pStyle w:val="TOC1"/>
        <w:rPr>
          <w:rFonts w:asciiTheme="minorHAnsi" w:eastAsiaTheme="minorEastAsia" w:hAnsiTheme="minorHAnsi" w:cstheme="minorBidi"/>
          <w:b w:val="0"/>
          <w:lang w:eastAsia="en-GB" w:bidi="ar-SA"/>
        </w:rPr>
      </w:pPr>
      <w:hyperlink w:anchor="_Toc121260644" w:history="1">
        <w:r w:rsidRPr="00CB7CD9">
          <w:rPr>
            <w:rStyle w:val="Hyperlink"/>
          </w:rPr>
          <w:t>3</w:t>
        </w:r>
        <w:r>
          <w:rPr>
            <w:rFonts w:asciiTheme="minorHAnsi" w:eastAsiaTheme="minorEastAsia" w:hAnsiTheme="minorHAnsi" w:cstheme="minorBidi"/>
            <w:b w:val="0"/>
            <w:lang w:eastAsia="en-GB" w:bidi="ar-SA"/>
          </w:rPr>
          <w:tab/>
        </w:r>
        <w:r w:rsidRPr="00CB7CD9">
          <w:rPr>
            <w:rStyle w:val="Hyperlink"/>
          </w:rPr>
          <w:t>Mobile Connect ATP Service Flow</w:t>
        </w:r>
        <w:r>
          <w:rPr>
            <w:webHidden/>
          </w:rPr>
          <w:tab/>
        </w:r>
        <w:r>
          <w:rPr>
            <w:webHidden/>
          </w:rPr>
          <w:fldChar w:fldCharType="begin"/>
        </w:r>
        <w:r>
          <w:rPr>
            <w:webHidden/>
          </w:rPr>
          <w:instrText xml:space="preserve"> PAGEREF _Toc121260644 \h </w:instrText>
        </w:r>
        <w:r>
          <w:rPr>
            <w:webHidden/>
          </w:rPr>
        </w:r>
        <w:r>
          <w:rPr>
            <w:webHidden/>
          </w:rPr>
          <w:fldChar w:fldCharType="separate"/>
        </w:r>
        <w:r w:rsidR="00847406">
          <w:rPr>
            <w:webHidden/>
          </w:rPr>
          <w:t>7</w:t>
        </w:r>
        <w:r>
          <w:rPr>
            <w:webHidden/>
          </w:rPr>
          <w:fldChar w:fldCharType="end"/>
        </w:r>
      </w:hyperlink>
    </w:p>
    <w:p w14:paraId="4154D11B" w14:textId="1EC21A16" w:rsidR="00554611" w:rsidRDefault="00554611">
      <w:pPr>
        <w:pStyle w:val="TOC2"/>
        <w:rPr>
          <w:rFonts w:asciiTheme="minorHAnsi" w:eastAsiaTheme="minorEastAsia" w:hAnsiTheme="minorHAnsi" w:cstheme="minorBidi"/>
          <w:szCs w:val="22"/>
          <w:lang w:bidi="ar-SA"/>
        </w:rPr>
      </w:pPr>
      <w:hyperlink w:anchor="_Toc121260645" w:history="1">
        <w:r w:rsidRPr="00CB7CD9">
          <w:rPr>
            <w:rStyle w:val="Hyperlink"/>
          </w:rPr>
          <w:t>3.1</w:t>
        </w:r>
        <w:r>
          <w:rPr>
            <w:rFonts w:asciiTheme="minorHAnsi" w:eastAsiaTheme="minorEastAsia" w:hAnsiTheme="minorHAnsi" w:cstheme="minorBidi"/>
            <w:szCs w:val="22"/>
            <w:lang w:bidi="ar-SA"/>
          </w:rPr>
          <w:tab/>
        </w:r>
        <w:r w:rsidRPr="00CB7CD9">
          <w:rPr>
            <w:rStyle w:val="Hyperlink"/>
          </w:rPr>
          <w:t>Considerations for Lawful Handling of User Data</w:t>
        </w:r>
        <w:r>
          <w:rPr>
            <w:webHidden/>
          </w:rPr>
          <w:tab/>
        </w:r>
        <w:r>
          <w:rPr>
            <w:webHidden/>
          </w:rPr>
          <w:fldChar w:fldCharType="begin"/>
        </w:r>
        <w:r>
          <w:rPr>
            <w:webHidden/>
          </w:rPr>
          <w:instrText xml:space="preserve"> PAGEREF _Toc121260645 \h </w:instrText>
        </w:r>
        <w:r>
          <w:rPr>
            <w:webHidden/>
          </w:rPr>
        </w:r>
        <w:r>
          <w:rPr>
            <w:webHidden/>
          </w:rPr>
          <w:fldChar w:fldCharType="separate"/>
        </w:r>
        <w:r w:rsidR="00847406">
          <w:rPr>
            <w:webHidden/>
          </w:rPr>
          <w:t>10</w:t>
        </w:r>
        <w:r>
          <w:rPr>
            <w:webHidden/>
          </w:rPr>
          <w:fldChar w:fldCharType="end"/>
        </w:r>
      </w:hyperlink>
    </w:p>
    <w:p w14:paraId="6DE6BD24" w14:textId="2D350E2B" w:rsidR="00554611" w:rsidRDefault="00554611">
      <w:pPr>
        <w:pStyle w:val="TOC1"/>
        <w:rPr>
          <w:rFonts w:asciiTheme="minorHAnsi" w:eastAsiaTheme="minorEastAsia" w:hAnsiTheme="minorHAnsi" w:cstheme="minorBidi"/>
          <w:b w:val="0"/>
          <w:lang w:eastAsia="en-GB" w:bidi="ar-SA"/>
        </w:rPr>
      </w:pPr>
      <w:hyperlink w:anchor="_Toc121260646" w:history="1">
        <w:r w:rsidRPr="00CB7CD9">
          <w:rPr>
            <w:rStyle w:val="Hyperlink"/>
          </w:rPr>
          <w:t>4</w:t>
        </w:r>
        <w:r>
          <w:rPr>
            <w:rFonts w:asciiTheme="minorHAnsi" w:eastAsiaTheme="minorEastAsia" w:hAnsiTheme="minorHAnsi" w:cstheme="minorBidi"/>
            <w:b w:val="0"/>
            <w:lang w:eastAsia="en-GB" w:bidi="ar-SA"/>
          </w:rPr>
          <w:tab/>
        </w:r>
        <w:r w:rsidRPr="00CB7CD9">
          <w:rPr>
            <w:rStyle w:val="Hyperlink"/>
          </w:rPr>
          <w:t>Account Takeover Protection Service Specification</w:t>
        </w:r>
        <w:r>
          <w:rPr>
            <w:webHidden/>
          </w:rPr>
          <w:tab/>
        </w:r>
        <w:r>
          <w:rPr>
            <w:webHidden/>
          </w:rPr>
          <w:fldChar w:fldCharType="begin"/>
        </w:r>
        <w:r>
          <w:rPr>
            <w:webHidden/>
          </w:rPr>
          <w:instrText xml:space="preserve"> PAGEREF _Toc121260646 \h </w:instrText>
        </w:r>
        <w:r>
          <w:rPr>
            <w:webHidden/>
          </w:rPr>
        </w:r>
        <w:r>
          <w:rPr>
            <w:webHidden/>
          </w:rPr>
          <w:fldChar w:fldCharType="separate"/>
        </w:r>
        <w:r w:rsidR="00847406">
          <w:rPr>
            <w:webHidden/>
          </w:rPr>
          <w:t>10</w:t>
        </w:r>
        <w:r>
          <w:rPr>
            <w:webHidden/>
          </w:rPr>
          <w:fldChar w:fldCharType="end"/>
        </w:r>
      </w:hyperlink>
    </w:p>
    <w:p w14:paraId="47F30118" w14:textId="668F0816" w:rsidR="00554611" w:rsidRDefault="00554611">
      <w:pPr>
        <w:pStyle w:val="TOC2"/>
        <w:rPr>
          <w:rFonts w:asciiTheme="minorHAnsi" w:eastAsiaTheme="minorEastAsia" w:hAnsiTheme="minorHAnsi" w:cstheme="minorBidi"/>
          <w:szCs w:val="22"/>
          <w:lang w:bidi="ar-SA"/>
        </w:rPr>
      </w:pPr>
      <w:hyperlink w:anchor="_Toc121260647" w:history="1">
        <w:r w:rsidRPr="00CB7CD9">
          <w:rPr>
            <w:rStyle w:val="Hyperlink"/>
          </w:rPr>
          <w:t>4.1</w:t>
        </w:r>
        <w:r>
          <w:rPr>
            <w:rFonts w:asciiTheme="minorHAnsi" w:eastAsiaTheme="minorEastAsia" w:hAnsiTheme="minorHAnsi" w:cstheme="minorBidi"/>
            <w:szCs w:val="22"/>
            <w:lang w:bidi="ar-SA"/>
          </w:rPr>
          <w:tab/>
        </w:r>
        <w:r w:rsidRPr="00CB7CD9">
          <w:rPr>
            <w:rStyle w:val="Hyperlink"/>
          </w:rPr>
          <w:t xml:space="preserve">OIDC Authorization Request Parameters - </w:t>
        </w:r>
        <w:r w:rsidRPr="00CB7CD9">
          <w:rPr>
            <w:rStyle w:val="Hyperlink"/>
            <w:rFonts w:ascii="Courier New" w:hAnsi="Courier New"/>
          </w:rPr>
          <w:t>scope</w:t>
        </w:r>
        <w:r>
          <w:rPr>
            <w:webHidden/>
          </w:rPr>
          <w:tab/>
        </w:r>
        <w:r>
          <w:rPr>
            <w:webHidden/>
          </w:rPr>
          <w:fldChar w:fldCharType="begin"/>
        </w:r>
        <w:r>
          <w:rPr>
            <w:webHidden/>
          </w:rPr>
          <w:instrText xml:space="preserve"> PAGEREF _Toc121260647 \h </w:instrText>
        </w:r>
        <w:r>
          <w:rPr>
            <w:webHidden/>
          </w:rPr>
        </w:r>
        <w:r>
          <w:rPr>
            <w:webHidden/>
          </w:rPr>
          <w:fldChar w:fldCharType="separate"/>
        </w:r>
        <w:r w:rsidR="00847406">
          <w:rPr>
            <w:webHidden/>
          </w:rPr>
          <w:t>10</w:t>
        </w:r>
        <w:r>
          <w:rPr>
            <w:webHidden/>
          </w:rPr>
          <w:fldChar w:fldCharType="end"/>
        </w:r>
      </w:hyperlink>
    </w:p>
    <w:p w14:paraId="507DC8AA" w14:textId="6EA34031" w:rsidR="00554611" w:rsidRDefault="00554611">
      <w:pPr>
        <w:pStyle w:val="TOC2"/>
        <w:rPr>
          <w:rFonts w:asciiTheme="minorHAnsi" w:eastAsiaTheme="minorEastAsia" w:hAnsiTheme="minorHAnsi" w:cstheme="minorBidi"/>
          <w:szCs w:val="22"/>
          <w:lang w:bidi="ar-SA"/>
        </w:rPr>
      </w:pPr>
      <w:hyperlink w:anchor="_Toc121260648" w:history="1">
        <w:r w:rsidRPr="00CB7CD9">
          <w:rPr>
            <w:rStyle w:val="Hyperlink"/>
          </w:rPr>
          <w:t>4.2</w:t>
        </w:r>
        <w:r>
          <w:rPr>
            <w:rFonts w:asciiTheme="minorHAnsi" w:eastAsiaTheme="minorEastAsia" w:hAnsiTheme="minorHAnsi" w:cstheme="minorBidi"/>
            <w:szCs w:val="22"/>
            <w:lang w:bidi="ar-SA"/>
          </w:rPr>
          <w:tab/>
        </w:r>
        <w:r w:rsidRPr="00CB7CD9">
          <w:rPr>
            <w:rStyle w:val="Hyperlink"/>
          </w:rPr>
          <w:t>API Modes Supported</w:t>
        </w:r>
        <w:r>
          <w:rPr>
            <w:webHidden/>
          </w:rPr>
          <w:tab/>
        </w:r>
        <w:r>
          <w:rPr>
            <w:webHidden/>
          </w:rPr>
          <w:fldChar w:fldCharType="begin"/>
        </w:r>
        <w:r>
          <w:rPr>
            <w:webHidden/>
          </w:rPr>
          <w:instrText xml:space="preserve"> PAGEREF _Toc121260648 \h </w:instrText>
        </w:r>
        <w:r>
          <w:rPr>
            <w:webHidden/>
          </w:rPr>
        </w:r>
        <w:r>
          <w:rPr>
            <w:webHidden/>
          </w:rPr>
          <w:fldChar w:fldCharType="separate"/>
        </w:r>
        <w:r w:rsidR="00847406">
          <w:rPr>
            <w:webHidden/>
          </w:rPr>
          <w:t>10</w:t>
        </w:r>
        <w:r>
          <w:rPr>
            <w:webHidden/>
          </w:rPr>
          <w:fldChar w:fldCharType="end"/>
        </w:r>
      </w:hyperlink>
    </w:p>
    <w:p w14:paraId="0487FE86" w14:textId="19F9DB2E" w:rsidR="00554611" w:rsidRDefault="00554611">
      <w:pPr>
        <w:pStyle w:val="TOC2"/>
        <w:rPr>
          <w:rFonts w:asciiTheme="minorHAnsi" w:eastAsiaTheme="minorEastAsia" w:hAnsiTheme="minorHAnsi" w:cstheme="minorBidi"/>
          <w:szCs w:val="22"/>
          <w:lang w:bidi="ar-SA"/>
        </w:rPr>
      </w:pPr>
      <w:hyperlink w:anchor="_Toc121260649" w:history="1">
        <w:r w:rsidRPr="00CB7CD9">
          <w:rPr>
            <w:rStyle w:val="Hyperlink"/>
          </w:rPr>
          <w:t>4.3</w:t>
        </w:r>
        <w:r>
          <w:rPr>
            <w:rFonts w:asciiTheme="minorHAnsi" w:eastAsiaTheme="minorEastAsia" w:hAnsiTheme="minorHAnsi" w:cstheme="minorBidi"/>
            <w:szCs w:val="22"/>
            <w:lang w:bidi="ar-SA"/>
          </w:rPr>
          <w:tab/>
        </w:r>
        <w:r w:rsidRPr="00CB7CD9">
          <w:rPr>
            <w:rStyle w:val="Hyperlink"/>
          </w:rPr>
          <w:t>Service Specific Requirements</w:t>
        </w:r>
        <w:r>
          <w:rPr>
            <w:webHidden/>
          </w:rPr>
          <w:tab/>
        </w:r>
        <w:r>
          <w:rPr>
            <w:webHidden/>
          </w:rPr>
          <w:fldChar w:fldCharType="begin"/>
        </w:r>
        <w:r>
          <w:rPr>
            <w:webHidden/>
          </w:rPr>
          <w:instrText xml:space="preserve"> PAGEREF _Toc121260649 \h </w:instrText>
        </w:r>
        <w:r>
          <w:rPr>
            <w:webHidden/>
          </w:rPr>
        </w:r>
        <w:r>
          <w:rPr>
            <w:webHidden/>
          </w:rPr>
          <w:fldChar w:fldCharType="separate"/>
        </w:r>
        <w:r w:rsidR="00847406">
          <w:rPr>
            <w:webHidden/>
          </w:rPr>
          <w:t>11</w:t>
        </w:r>
        <w:r>
          <w:rPr>
            <w:webHidden/>
          </w:rPr>
          <w:fldChar w:fldCharType="end"/>
        </w:r>
      </w:hyperlink>
    </w:p>
    <w:p w14:paraId="703C0935" w14:textId="1D642E2B" w:rsidR="00554611" w:rsidRDefault="00554611">
      <w:pPr>
        <w:pStyle w:val="TOC1"/>
        <w:tabs>
          <w:tab w:val="left" w:pos="1248"/>
        </w:tabs>
        <w:rPr>
          <w:rFonts w:asciiTheme="minorHAnsi" w:eastAsiaTheme="minorEastAsia" w:hAnsiTheme="minorHAnsi" w:cstheme="minorBidi"/>
          <w:b w:val="0"/>
          <w:lang w:eastAsia="en-GB" w:bidi="ar-SA"/>
        </w:rPr>
      </w:pPr>
      <w:hyperlink w:anchor="_Toc121260650" w:history="1">
        <w:r w:rsidRPr="00CB7CD9">
          <w:rPr>
            <w:rStyle w:val="Hyperlink"/>
          </w:rPr>
          <w:t>Annex A</w:t>
        </w:r>
        <w:r>
          <w:rPr>
            <w:rFonts w:asciiTheme="minorHAnsi" w:eastAsiaTheme="minorEastAsia" w:hAnsiTheme="minorHAnsi" w:cstheme="minorBidi"/>
            <w:b w:val="0"/>
            <w:lang w:eastAsia="en-GB" w:bidi="ar-SA"/>
          </w:rPr>
          <w:tab/>
        </w:r>
        <w:r w:rsidRPr="00CB7CD9">
          <w:rPr>
            <w:rStyle w:val="Hyperlink"/>
          </w:rPr>
          <w:t>Mobile Connect ATP Service Specific Error Codes and Descriptions</w:t>
        </w:r>
        <w:r>
          <w:rPr>
            <w:webHidden/>
          </w:rPr>
          <w:tab/>
        </w:r>
        <w:r>
          <w:rPr>
            <w:webHidden/>
          </w:rPr>
          <w:fldChar w:fldCharType="begin"/>
        </w:r>
        <w:r>
          <w:rPr>
            <w:webHidden/>
          </w:rPr>
          <w:instrText xml:space="preserve"> PAGEREF _Toc121260650 \h </w:instrText>
        </w:r>
        <w:r>
          <w:rPr>
            <w:webHidden/>
          </w:rPr>
        </w:r>
        <w:r>
          <w:rPr>
            <w:webHidden/>
          </w:rPr>
          <w:fldChar w:fldCharType="separate"/>
        </w:r>
        <w:r w:rsidR="00847406">
          <w:rPr>
            <w:webHidden/>
          </w:rPr>
          <w:t>14</w:t>
        </w:r>
        <w:r>
          <w:rPr>
            <w:webHidden/>
          </w:rPr>
          <w:fldChar w:fldCharType="end"/>
        </w:r>
      </w:hyperlink>
    </w:p>
    <w:p w14:paraId="4A3A2EBD" w14:textId="26BEE19F" w:rsidR="00554611" w:rsidRDefault="00554611">
      <w:pPr>
        <w:pStyle w:val="TOC2"/>
        <w:rPr>
          <w:rFonts w:asciiTheme="minorHAnsi" w:eastAsiaTheme="minorEastAsia" w:hAnsiTheme="minorHAnsi" w:cstheme="minorBidi"/>
          <w:szCs w:val="22"/>
          <w:lang w:bidi="ar-SA"/>
        </w:rPr>
      </w:pPr>
      <w:hyperlink w:anchor="_Toc121260651" w:history="1">
        <w:r w:rsidRPr="00CB7CD9">
          <w:rPr>
            <w:rStyle w:val="Hyperlink"/>
          </w:rPr>
          <w:t>A.1</w:t>
        </w:r>
        <w:r>
          <w:rPr>
            <w:rFonts w:asciiTheme="minorHAnsi" w:eastAsiaTheme="minorEastAsia" w:hAnsiTheme="minorHAnsi" w:cstheme="minorBidi"/>
            <w:szCs w:val="22"/>
            <w:lang w:bidi="ar-SA"/>
          </w:rPr>
          <w:tab/>
        </w:r>
        <w:r w:rsidRPr="00CB7CD9">
          <w:rPr>
            <w:rStyle w:val="Hyperlink"/>
          </w:rPr>
          <w:t>Error Responses in Server-Initiated Mode</w:t>
        </w:r>
        <w:r>
          <w:rPr>
            <w:webHidden/>
          </w:rPr>
          <w:tab/>
        </w:r>
        <w:r>
          <w:rPr>
            <w:webHidden/>
          </w:rPr>
          <w:fldChar w:fldCharType="begin"/>
        </w:r>
        <w:r>
          <w:rPr>
            <w:webHidden/>
          </w:rPr>
          <w:instrText xml:space="preserve"> PAGEREF _Toc121260651 \h </w:instrText>
        </w:r>
        <w:r>
          <w:rPr>
            <w:webHidden/>
          </w:rPr>
        </w:r>
        <w:r>
          <w:rPr>
            <w:webHidden/>
          </w:rPr>
          <w:fldChar w:fldCharType="separate"/>
        </w:r>
        <w:r w:rsidR="00847406">
          <w:rPr>
            <w:webHidden/>
          </w:rPr>
          <w:t>14</w:t>
        </w:r>
        <w:r>
          <w:rPr>
            <w:webHidden/>
          </w:rPr>
          <w:fldChar w:fldCharType="end"/>
        </w:r>
      </w:hyperlink>
    </w:p>
    <w:p w14:paraId="351FE57F" w14:textId="1FE40A56" w:rsidR="00554611" w:rsidRDefault="00554611">
      <w:pPr>
        <w:pStyle w:val="TOC3"/>
        <w:rPr>
          <w:rFonts w:asciiTheme="minorHAnsi" w:eastAsiaTheme="minorEastAsia" w:hAnsiTheme="minorHAnsi" w:cstheme="minorBidi"/>
          <w:szCs w:val="22"/>
          <w:lang w:bidi="ar-SA"/>
        </w:rPr>
      </w:pPr>
      <w:hyperlink w:anchor="_Toc121260652" w:history="1">
        <w:r w:rsidRPr="00CB7CD9">
          <w:rPr>
            <w:rStyle w:val="Hyperlink"/>
          </w:rPr>
          <w:t>A.1.1</w:t>
        </w:r>
        <w:r>
          <w:rPr>
            <w:rFonts w:asciiTheme="minorHAnsi" w:eastAsiaTheme="minorEastAsia" w:hAnsiTheme="minorHAnsi" w:cstheme="minorBidi"/>
            <w:szCs w:val="22"/>
            <w:lang w:bidi="ar-SA"/>
          </w:rPr>
          <w:tab/>
        </w:r>
        <w:r w:rsidRPr="00CB7CD9">
          <w:rPr>
            <w:rStyle w:val="Hyperlink"/>
          </w:rPr>
          <w:t>Error Responses: OIDC Authorization Response</w:t>
        </w:r>
        <w:r>
          <w:rPr>
            <w:webHidden/>
          </w:rPr>
          <w:tab/>
        </w:r>
        <w:r>
          <w:rPr>
            <w:webHidden/>
          </w:rPr>
          <w:fldChar w:fldCharType="begin"/>
        </w:r>
        <w:r>
          <w:rPr>
            <w:webHidden/>
          </w:rPr>
          <w:instrText xml:space="preserve"> PAGEREF _Toc121260652 \h </w:instrText>
        </w:r>
        <w:r>
          <w:rPr>
            <w:webHidden/>
          </w:rPr>
        </w:r>
        <w:r>
          <w:rPr>
            <w:webHidden/>
          </w:rPr>
          <w:fldChar w:fldCharType="separate"/>
        </w:r>
        <w:r w:rsidR="00847406">
          <w:rPr>
            <w:webHidden/>
          </w:rPr>
          <w:t>14</w:t>
        </w:r>
        <w:r>
          <w:rPr>
            <w:webHidden/>
          </w:rPr>
          <w:fldChar w:fldCharType="end"/>
        </w:r>
      </w:hyperlink>
    </w:p>
    <w:p w14:paraId="23B41500" w14:textId="1C8D0C5A" w:rsidR="00554611" w:rsidRDefault="00554611">
      <w:pPr>
        <w:pStyle w:val="TOC3"/>
        <w:rPr>
          <w:rFonts w:asciiTheme="minorHAnsi" w:eastAsiaTheme="minorEastAsia" w:hAnsiTheme="minorHAnsi" w:cstheme="minorBidi"/>
          <w:szCs w:val="22"/>
          <w:lang w:bidi="ar-SA"/>
        </w:rPr>
      </w:pPr>
      <w:hyperlink w:anchor="_Toc121260653" w:history="1">
        <w:r w:rsidRPr="00CB7CD9">
          <w:rPr>
            <w:rStyle w:val="Hyperlink"/>
          </w:rPr>
          <w:t>A.1.2</w:t>
        </w:r>
        <w:r>
          <w:rPr>
            <w:rFonts w:asciiTheme="minorHAnsi" w:eastAsiaTheme="minorEastAsia" w:hAnsiTheme="minorHAnsi" w:cstheme="minorBidi"/>
            <w:szCs w:val="22"/>
            <w:lang w:bidi="ar-SA"/>
          </w:rPr>
          <w:tab/>
        </w:r>
        <w:r w:rsidRPr="00CB7CD9">
          <w:rPr>
            <w:rStyle w:val="Hyperlink"/>
          </w:rPr>
          <w:t>Error Responses: Notification</w:t>
        </w:r>
        <w:r>
          <w:rPr>
            <w:webHidden/>
          </w:rPr>
          <w:tab/>
        </w:r>
        <w:r>
          <w:rPr>
            <w:webHidden/>
          </w:rPr>
          <w:fldChar w:fldCharType="begin"/>
        </w:r>
        <w:r>
          <w:rPr>
            <w:webHidden/>
          </w:rPr>
          <w:instrText xml:space="preserve"> PAGEREF _Toc121260653 \h </w:instrText>
        </w:r>
        <w:r>
          <w:rPr>
            <w:webHidden/>
          </w:rPr>
        </w:r>
        <w:r>
          <w:rPr>
            <w:webHidden/>
          </w:rPr>
          <w:fldChar w:fldCharType="separate"/>
        </w:r>
        <w:r w:rsidR="00847406">
          <w:rPr>
            <w:webHidden/>
          </w:rPr>
          <w:t>15</w:t>
        </w:r>
        <w:r>
          <w:rPr>
            <w:webHidden/>
          </w:rPr>
          <w:fldChar w:fldCharType="end"/>
        </w:r>
      </w:hyperlink>
    </w:p>
    <w:p w14:paraId="4E966F00" w14:textId="5A8A408A" w:rsidR="00554611" w:rsidRDefault="00554611">
      <w:pPr>
        <w:pStyle w:val="TOC3"/>
        <w:rPr>
          <w:rFonts w:asciiTheme="minorHAnsi" w:eastAsiaTheme="minorEastAsia" w:hAnsiTheme="minorHAnsi" w:cstheme="minorBidi"/>
          <w:szCs w:val="22"/>
          <w:lang w:bidi="ar-SA"/>
        </w:rPr>
      </w:pPr>
      <w:hyperlink w:anchor="_Toc121260654" w:history="1">
        <w:r w:rsidRPr="00CB7CD9">
          <w:rPr>
            <w:rStyle w:val="Hyperlink"/>
          </w:rPr>
          <w:t>A.1.3</w:t>
        </w:r>
        <w:r>
          <w:rPr>
            <w:rFonts w:asciiTheme="minorHAnsi" w:eastAsiaTheme="minorEastAsia" w:hAnsiTheme="minorHAnsi" w:cstheme="minorBidi"/>
            <w:szCs w:val="22"/>
            <w:lang w:bidi="ar-SA"/>
          </w:rPr>
          <w:tab/>
        </w:r>
        <w:r w:rsidRPr="00CB7CD9">
          <w:rPr>
            <w:rStyle w:val="Hyperlink"/>
          </w:rPr>
          <w:t>Error Responses: Notification Acknowledgement</w:t>
        </w:r>
        <w:r>
          <w:rPr>
            <w:webHidden/>
          </w:rPr>
          <w:tab/>
        </w:r>
        <w:r>
          <w:rPr>
            <w:webHidden/>
          </w:rPr>
          <w:fldChar w:fldCharType="begin"/>
        </w:r>
        <w:r>
          <w:rPr>
            <w:webHidden/>
          </w:rPr>
          <w:instrText xml:space="preserve"> PAGEREF _Toc121260654 \h </w:instrText>
        </w:r>
        <w:r>
          <w:rPr>
            <w:webHidden/>
          </w:rPr>
        </w:r>
        <w:r>
          <w:rPr>
            <w:webHidden/>
          </w:rPr>
          <w:fldChar w:fldCharType="separate"/>
        </w:r>
        <w:r w:rsidR="00847406">
          <w:rPr>
            <w:webHidden/>
          </w:rPr>
          <w:t>15</w:t>
        </w:r>
        <w:r>
          <w:rPr>
            <w:webHidden/>
          </w:rPr>
          <w:fldChar w:fldCharType="end"/>
        </w:r>
      </w:hyperlink>
    </w:p>
    <w:p w14:paraId="7C2D3035" w14:textId="591F42A7" w:rsidR="00554611" w:rsidRDefault="00554611">
      <w:pPr>
        <w:pStyle w:val="TOC3"/>
        <w:rPr>
          <w:rFonts w:asciiTheme="minorHAnsi" w:eastAsiaTheme="minorEastAsia" w:hAnsiTheme="minorHAnsi" w:cstheme="minorBidi"/>
          <w:szCs w:val="22"/>
          <w:lang w:bidi="ar-SA"/>
        </w:rPr>
      </w:pPr>
      <w:hyperlink w:anchor="_Toc121260655" w:history="1">
        <w:r w:rsidRPr="00CB7CD9">
          <w:rPr>
            <w:rStyle w:val="Hyperlink"/>
          </w:rPr>
          <w:t>A.1.4</w:t>
        </w:r>
        <w:r>
          <w:rPr>
            <w:rFonts w:asciiTheme="minorHAnsi" w:eastAsiaTheme="minorEastAsia" w:hAnsiTheme="minorHAnsi" w:cstheme="minorBidi"/>
            <w:szCs w:val="22"/>
            <w:lang w:bidi="ar-SA"/>
          </w:rPr>
          <w:tab/>
        </w:r>
        <w:r w:rsidRPr="00CB7CD9">
          <w:rPr>
            <w:rStyle w:val="Hyperlink"/>
          </w:rPr>
          <w:t>Error Responses: Polling Response</w:t>
        </w:r>
        <w:r>
          <w:rPr>
            <w:webHidden/>
          </w:rPr>
          <w:tab/>
        </w:r>
        <w:r>
          <w:rPr>
            <w:webHidden/>
          </w:rPr>
          <w:fldChar w:fldCharType="begin"/>
        </w:r>
        <w:r>
          <w:rPr>
            <w:webHidden/>
          </w:rPr>
          <w:instrText xml:space="preserve"> PAGEREF _Toc121260655 \h </w:instrText>
        </w:r>
        <w:r>
          <w:rPr>
            <w:webHidden/>
          </w:rPr>
        </w:r>
        <w:r>
          <w:rPr>
            <w:webHidden/>
          </w:rPr>
          <w:fldChar w:fldCharType="separate"/>
        </w:r>
        <w:r w:rsidR="00847406">
          <w:rPr>
            <w:webHidden/>
          </w:rPr>
          <w:t>16</w:t>
        </w:r>
        <w:r>
          <w:rPr>
            <w:webHidden/>
          </w:rPr>
          <w:fldChar w:fldCharType="end"/>
        </w:r>
      </w:hyperlink>
    </w:p>
    <w:p w14:paraId="6C9F5FF5" w14:textId="640E0BE3" w:rsidR="00554611" w:rsidRDefault="00554611">
      <w:pPr>
        <w:pStyle w:val="TOC1"/>
        <w:tabs>
          <w:tab w:val="left" w:pos="1248"/>
        </w:tabs>
        <w:rPr>
          <w:rFonts w:asciiTheme="minorHAnsi" w:eastAsiaTheme="minorEastAsia" w:hAnsiTheme="minorHAnsi" w:cstheme="minorBidi"/>
          <w:b w:val="0"/>
          <w:lang w:eastAsia="en-GB" w:bidi="ar-SA"/>
        </w:rPr>
      </w:pPr>
      <w:hyperlink w:anchor="_Toc121260656" w:history="1">
        <w:r w:rsidRPr="00CB7CD9">
          <w:rPr>
            <w:rStyle w:val="Hyperlink"/>
          </w:rPr>
          <w:t>Annex B</w:t>
        </w:r>
        <w:r>
          <w:rPr>
            <w:rFonts w:asciiTheme="minorHAnsi" w:eastAsiaTheme="minorEastAsia" w:hAnsiTheme="minorHAnsi" w:cstheme="minorBidi"/>
            <w:b w:val="0"/>
            <w:lang w:eastAsia="en-GB" w:bidi="ar-SA"/>
          </w:rPr>
          <w:tab/>
        </w:r>
        <w:r w:rsidRPr="00CB7CD9">
          <w:rPr>
            <w:rStyle w:val="Hyperlink"/>
          </w:rPr>
          <w:t>Authenticators</w:t>
        </w:r>
        <w:r>
          <w:rPr>
            <w:webHidden/>
          </w:rPr>
          <w:tab/>
        </w:r>
        <w:r>
          <w:rPr>
            <w:webHidden/>
          </w:rPr>
          <w:fldChar w:fldCharType="begin"/>
        </w:r>
        <w:r>
          <w:rPr>
            <w:webHidden/>
          </w:rPr>
          <w:instrText xml:space="preserve"> PAGEREF _Toc121260656 \h </w:instrText>
        </w:r>
        <w:r>
          <w:rPr>
            <w:webHidden/>
          </w:rPr>
        </w:r>
        <w:r>
          <w:rPr>
            <w:webHidden/>
          </w:rPr>
          <w:fldChar w:fldCharType="separate"/>
        </w:r>
        <w:r w:rsidR="00847406">
          <w:rPr>
            <w:webHidden/>
          </w:rPr>
          <w:t>17</w:t>
        </w:r>
        <w:r>
          <w:rPr>
            <w:webHidden/>
          </w:rPr>
          <w:fldChar w:fldCharType="end"/>
        </w:r>
      </w:hyperlink>
    </w:p>
    <w:p w14:paraId="393119D7" w14:textId="135B1DF3" w:rsidR="00554611" w:rsidRDefault="00554611">
      <w:pPr>
        <w:pStyle w:val="TOC1"/>
        <w:tabs>
          <w:tab w:val="left" w:pos="1248"/>
        </w:tabs>
        <w:rPr>
          <w:rFonts w:asciiTheme="minorHAnsi" w:eastAsiaTheme="minorEastAsia" w:hAnsiTheme="minorHAnsi" w:cstheme="minorBidi"/>
          <w:b w:val="0"/>
          <w:lang w:eastAsia="en-GB" w:bidi="ar-SA"/>
        </w:rPr>
      </w:pPr>
      <w:hyperlink w:anchor="_Toc121260657" w:history="1">
        <w:r w:rsidRPr="00CB7CD9">
          <w:rPr>
            <w:rStyle w:val="Hyperlink"/>
          </w:rPr>
          <w:t>Annex C</w:t>
        </w:r>
        <w:r>
          <w:rPr>
            <w:rFonts w:asciiTheme="minorHAnsi" w:eastAsiaTheme="minorEastAsia" w:hAnsiTheme="minorHAnsi" w:cstheme="minorBidi"/>
            <w:b w:val="0"/>
            <w:lang w:eastAsia="en-GB" w:bidi="ar-SA"/>
          </w:rPr>
          <w:tab/>
        </w:r>
        <w:r w:rsidRPr="00CB7CD9">
          <w:rPr>
            <w:rStyle w:val="Hyperlink"/>
          </w:rPr>
          <w:t>Document Management</w:t>
        </w:r>
        <w:r>
          <w:rPr>
            <w:webHidden/>
          </w:rPr>
          <w:tab/>
        </w:r>
        <w:r>
          <w:rPr>
            <w:webHidden/>
          </w:rPr>
          <w:fldChar w:fldCharType="begin"/>
        </w:r>
        <w:r>
          <w:rPr>
            <w:webHidden/>
          </w:rPr>
          <w:instrText xml:space="preserve"> PAGEREF _Toc121260657 \h </w:instrText>
        </w:r>
        <w:r>
          <w:rPr>
            <w:webHidden/>
          </w:rPr>
        </w:r>
        <w:r>
          <w:rPr>
            <w:webHidden/>
          </w:rPr>
          <w:fldChar w:fldCharType="separate"/>
        </w:r>
        <w:r w:rsidR="00847406">
          <w:rPr>
            <w:webHidden/>
          </w:rPr>
          <w:t>18</w:t>
        </w:r>
        <w:r>
          <w:rPr>
            <w:webHidden/>
          </w:rPr>
          <w:fldChar w:fldCharType="end"/>
        </w:r>
      </w:hyperlink>
    </w:p>
    <w:p w14:paraId="2BB90CDF" w14:textId="610E229A" w:rsidR="00554611" w:rsidRDefault="00554611">
      <w:pPr>
        <w:pStyle w:val="TOC2"/>
        <w:rPr>
          <w:rFonts w:asciiTheme="minorHAnsi" w:eastAsiaTheme="minorEastAsia" w:hAnsiTheme="minorHAnsi" w:cstheme="minorBidi"/>
          <w:szCs w:val="22"/>
          <w:lang w:bidi="ar-SA"/>
        </w:rPr>
      </w:pPr>
      <w:hyperlink w:anchor="_Toc121260658" w:history="1">
        <w:r w:rsidRPr="00CB7CD9">
          <w:rPr>
            <w:rStyle w:val="Hyperlink"/>
            <w:rFonts w:cs="Arial"/>
          </w:rPr>
          <w:t>C.1</w:t>
        </w:r>
        <w:r>
          <w:rPr>
            <w:rFonts w:asciiTheme="minorHAnsi" w:eastAsiaTheme="minorEastAsia" w:hAnsiTheme="minorHAnsi" w:cstheme="minorBidi"/>
            <w:szCs w:val="22"/>
            <w:lang w:bidi="ar-SA"/>
          </w:rPr>
          <w:tab/>
        </w:r>
        <w:r w:rsidRPr="00CB7CD9">
          <w:rPr>
            <w:rStyle w:val="Hyperlink"/>
            <w:rFonts w:cs="Arial"/>
          </w:rPr>
          <w:t>Document History</w:t>
        </w:r>
        <w:r>
          <w:rPr>
            <w:webHidden/>
          </w:rPr>
          <w:tab/>
        </w:r>
        <w:r>
          <w:rPr>
            <w:webHidden/>
          </w:rPr>
          <w:fldChar w:fldCharType="begin"/>
        </w:r>
        <w:r>
          <w:rPr>
            <w:webHidden/>
          </w:rPr>
          <w:instrText xml:space="preserve"> PAGEREF _Toc121260658 \h </w:instrText>
        </w:r>
        <w:r>
          <w:rPr>
            <w:webHidden/>
          </w:rPr>
        </w:r>
        <w:r>
          <w:rPr>
            <w:webHidden/>
          </w:rPr>
          <w:fldChar w:fldCharType="separate"/>
        </w:r>
        <w:r w:rsidR="00847406">
          <w:rPr>
            <w:webHidden/>
          </w:rPr>
          <w:t>18</w:t>
        </w:r>
        <w:r>
          <w:rPr>
            <w:webHidden/>
          </w:rPr>
          <w:fldChar w:fldCharType="end"/>
        </w:r>
      </w:hyperlink>
    </w:p>
    <w:p w14:paraId="752F9097" w14:textId="4FAC83C4" w:rsidR="00554611" w:rsidRDefault="00554611">
      <w:pPr>
        <w:pStyle w:val="TOC2"/>
        <w:rPr>
          <w:rFonts w:asciiTheme="minorHAnsi" w:eastAsiaTheme="minorEastAsia" w:hAnsiTheme="minorHAnsi" w:cstheme="minorBidi"/>
          <w:szCs w:val="22"/>
          <w:lang w:bidi="ar-SA"/>
        </w:rPr>
      </w:pPr>
      <w:hyperlink w:anchor="_Toc121260659" w:history="1">
        <w:r w:rsidRPr="00CB7CD9">
          <w:rPr>
            <w:rStyle w:val="Hyperlink"/>
            <w:rFonts w:cs="Arial"/>
          </w:rPr>
          <w:t>C.2</w:t>
        </w:r>
        <w:r>
          <w:rPr>
            <w:rFonts w:asciiTheme="minorHAnsi" w:eastAsiaTheme="minorEastAsia" w:hAnsiTheme="minorHAnsi" w:cstheme="minorBidi"/>
            <w:szCs w:val="22"/>
            <w:lang w:bidi="ar-SA"/>
          </w:rPr>
          <w:tab/>
        </w:r>
        <w:r w:rsidRPr="00CB7CD9">
          <w:rPr>
            <w:rStyle w:val="Hyperlink"/>
            <w:rFonts w:cs="Arial"/>
          </w:rPr>
          <w:t>Other Information</w:t>
        </w:r>
        <w:r>
          <w:rPr>
            <w:webHidden/>
          </w:rPr>
          <w:tab/>
        </w:r>
        <w:r>
          <w:rPr>
            <w:webHidden/>
          </w:rPr>
          <w:fldChar w:fldCharType="begin"/>
        </w:r>
        <w:r>
          <w:rPr>
            <w:webHidden/>
          </w:rPr>
          <w:instrText xml:space="preserve"> PAGEREF _Toc121260659 \h </w:instrText>
        </w:r>
        <w:r>
          <w:rPr>
            <w:webHidden/>
          </w:rPr>
        </w:r>
        <w:r>
          <w:rPr>
            <w:webHidden/>
          </w:rPr>
          <w:fldChar w:fldCharType="separate"/>
        </w:r>
        <w:r w:rsidR="00847406">
          <w:rPr>
            <w:webHidden/>
          </w:rPr>
          <w:t>18</w:t>
        </w:r>
        <w:r>
          <w:rPr>
            <w:webHidden/>
          </w:rPr>
          <w:fldChar w:fldCharType="end"/>
        </w:r>
      </w:hyperlink>
    </w:p>
    <w:p w14:paraId="0DDECAEA" w14:textId="3CCAD8EE" w:rsidR="005015E1" w:rsidRDefault="005015E1" w:rsidP="005015E1">
      <w:pPr>
        <w:pStyle w:val="NormalParagraph"/>
      </w:pPr>
      <w:r>
        <w:rPr>
          <w:noProof/>
          <w:lang w:eastAsia="zh-CN" w:bidi="bn-BD"/>
        </w:rPr>
        <w:fldChar w:fldCharType="end"/>
      </w:r>
    </w:p>
    <w:p w14:paraId="371B1CD2" w14:textId="77777777" w:rsidR="005015E1" w:rsidRDefault="005015E1" w:rsidP="005015E1">
      <w:pPr>
        <w:pStyle w:val="NormalParagraph"/>
      </w:pPr>
    </w:p>
    <w:p w14:paraId="262D6567" w14:textId="77777777" w:rsidR="005015E1" w:rsidRPr="004B2D20" w:rsidRDefault="005015E1" w:rsidP="005015E1">
      <w:pPr>
        <w:pStyle w:val="Heading1"/>
      </w:pPr>
      <w:bookmarkStart w:id="5" w:name="_Toc101946531"/>
      <w:r>
        <w:br w:type="page"/>
      </w:r>
      <w:bookmarkStart w:id="6" w:name="_Toc466480042"/>
      <w:bookmarkStart w:id="7" w:name="_Toc119425885"/>
      <w:bookmarkStart w:id="8" w:name="_Toc121260633"/>
      <w:bookmarkEnd w:id="5"/>
      <w:r w:rsidRPr="004B2D20">
        <w:lastRenderedPageBreak/>
        <w:t>Introduction</w:t>
      </w:r>
      <w:bookmarkEnd w:id="6"/>
      <w:bookmarkEnd w:id="7"/>
      <w:bookmarkEnd w:id="8"/>
    </w:p>
    <w:p w14:paraId="3697F457" w14:textId="77777777" w:rsidR="005015E1" w:rsidRDefault="005015E1" w:rsidP="005015E1">
      <w:pPr>
        <w:pStyle w:val="Heading2"/>
        <w:numPr>
          <w:ilvl w:val="1"/>
          <w:numId w:val="7"/>
        </w:numPr>
      </w:pPr>
      <w:bookmarkStart w:id="9" w:name="_Toc443047778"/>
      <w:bookmarkStart w:id="10" w:name="_Toc519249796"/>
      <w:bookmarkStart w:id="11" w:name="_Toc521683484"/>
      <w:bookmarkStart w:id="12" w:name="_Toc119425886"/>
      <w:bookmarkStart w:id="13" w:name="_Toc466480043"/>
      <w:bookmarkStart w:id="14" w:name="_Toc121260634"/>
      <w:r>
        <w:t>Overview</w:t>
      </w:r>
      <w:bookmarkEnd w:id="9"/>
      <w:bookmarkEnd w:id="10"/>
      <w:bookmarkEnd w:id="11"/>
      <w:bookmarkEnd w:id="12"/>
      <w:bookmarkEnd w:id="14"/>
    </w:p>
    <w:p w14:paraId="7E8571DD" w14:textId="3A4AC949" w:rsidR="005015E1" w:rsidRDefault="005015E1" w:rsidP="005015E1">
      <w:pPr>
        <w:pStyle w:val="NormalParagraph"/>
        <w:rPr>
          <w:noProof/>
        </w:rPr>
      </w:pPr>
      <w:r w:rsidRPr="00CB680F">
        <w:t xml:space="preserve">Mobile Connect is a worldwide initiative by </w:t>
      </w:r>
      <w:r>
        <w:t>M</w:t>
      </w:r>
      <w:r w:rsidRPr="00CB680F">
        <w:t xml:space="preserve">obile </w:t>
      </w:r>
      <w:r>
        <w:t>O</w:t>
      </w:r>
      <w:r w:rsidRPr="00CB680F">
        <w:t xml:space="preserve">perators to bring a wide portfolio of identity services to market that enable </w:t>
      </w:r>
      <w:r w:rsidR="003E04A9">
        <w:t>SP</w:t>
      </w:r>
      <w:r w:rsidRPr="00CB680F">
        <w:t>s</w:t>
      </w:r>
      <w:r w:rsidR="009C23F7">
        <w:t xml:space="preserve"> </w:t>
      </w:r>
      <w:r w:rsidRPr="00CB680F">
        <w:t xml:space="preserve">and </w:t>
      </w:r>
      <w:r>
        <w:t>Users</w:t>
      </w:r>
      <w:r w:rsidRPr="00CB680F">
        <w:t xml:space="preserve"> to transact with one-another more securely through strong authentication, </w:t>
      </w:r>
      <w:proofErr w:type="gramStart"/>
      <w:r w:rsidRPr="00CB680F">
        <w:t>authorisation</w:t>
      </w:r>
      <w:proofErr w:type="gramEnd"/>
      <w:r w:rsidRPr="00CB680F">
        <w:t xml:space="preserve"> and exchange of </w:t>
      </w:r>
      <w:r>
        <w:t>attributes, subject to User consent</w:t>
      </w:r>
      <w:r w:rsidR="009C23F7">
        <w:t>.</w:t>
      </w:r>
    </w:p>
    <w:p w14:paraId="606E1755" w14:textId="3C95A09D" w:rsidR="005015E1" w:rsidRDefault="005015E1" w:rsidP="005015E1">
      <w:pPr>
        <w:pStyle w:val="NormalParagraph"/>
        <w:rPr>
          <w:lang w:eastAsia="en-US" w:bidi="bn-BD"/>
        </w:rPr>
      </w:pPr>
      <w:r>
        <w:t>The Mobile Connect architecture consists of a Core framework around which additional components can be added to support the different Mobile Connect services. The Core framework is</w:t>
      </w:r>
      <w:r>
        <w:rPr>
          <w:lang w:eastAsia="en-US" w:bidi="bn-BD"/>
        </w:rPr>
        <w:t xml:space="preserve"> based upon the OpenID Connect (</w:t>
      </w:r>
      <w:proofErr w:type="spellStart"/>
      <w:r>
        <w:rPr>
          <w:lang w:eastAsia="en-US" w:bidi="bn-BD"/>
        </w:rPr>
        <w:t>OIDC</w:t>
      </w:r>
      <w:proofErr w:type="spellEnd"/>
      <w:r>
        <w:rPr>
          <w:lang w:eastAsia="en-US" w:bidi="bn-BD"/>
        </w:rPr>
        <w:t xml:space="preserve">) protocol [1] and allows Users to be identified by their </w:t>
      </w:r>
      <w:proofErr w:type="spellStart"/>
      <w:r>
        <w:rPr>
          <w:lang w:eastAsia="en-US" w:bidi="bn-BD"/>
        </w:rPr>
        <w:t>MSISDN</w:t>
      </w:r>
      <w:proofErr w:type="spellEnd"/>
      <w:r>
        <w:rPr>
          <w:lang w:eastAsia="en-US" w:bidi="bn-BD"/>
        </w:rPr>
        <w:t xml:space="preserve"> (or a related Pseudonymous Customer Reference) to </w:t>
      </w:r>
      <w:proofErr w:type="spellStart"/>
      <w:r>
        <w:rPr>
          <w:lang w:eastAsia="en-US" w:bidi="bn-BD"/>
        </w:rPr>
        <w:t>enableMC</w:t>
      </w:r>
      <w:proofErr w:type="spellEnd"/>
      <w:r>
        <w:rPr>
          <w:lang w:eastAsia="en-US" w:bidi="bn-BD"/>
        </w:rPr>
        <w:t xml:space="preserve"> services, the serving Mobile Operator selecting an appropriate Authenticator (where required) based on Operator policy, regulatory requirements, privacy principles</w:t>
      </w:r>
      <w:r w:rsidR="00DA580B">
        <w:rPr>
          <w:lang w:eastAsia="en-US" w:bidi="bn-BD"/>
        </w:rPr>
        <w:t>,</w:t>
      </w:r>
      <w:r>
        <w:rPr>
          <w:lang w:eastAsia="en-US" w:bidi="bn-BD"/>
        </w:rPr>
        <w:t xml:space="preserve"> device capability and the Level of Assurance required by the </w:t>
      </w:r>
      <w:r w:rsidR="003E04A9">
        <w:rPr>
          <w:lang w:eastAsia="en-US" w:bidi="bn-BD"/>
        </w:rPr>
        <w:t>SP</w:t>
      </w:r>
      <w:r>
        <w:rPr>
          <w:lang w:eastAsia="en-US" w:bidi="bn-BD"/>
        </w:rPr>
        <w:t>.</w:t>
      </w:r>
    </w:p>
    <w:p w14:paraId="7A81EF04" w14:textId="434BE50F" w:rsidR="005015E1" w:rsidRDefault="005015E1" w:rsidP="005015E1">
      <w:pPr>
        <w:pStyle w:val="NormalParagraph"/>
        <w:rPr>
          <w:lang w:eastAsia="en-US" w:bidi="bn-BD"/>
        </w:rPr>
      </w:pPr>
      <w:r w:rsidRPr="00586776">
        <w:rPr>
          <w:rFonts w:cs="Arial"/>
        </w:rPr>
        <w:t xml:space="preserve">This document </w:t>
      </w:r>
      <w:r>
        <w:rPr>
          <w:rFonts w:cs="Arial"/>
        </w:rPr>
        <w:t xml:space="preserve">details the Mobile Connect Account Takeover Protection (ATP) service. Mobile Connect ATP provides a mechanism through </w:t>
      </w:r>
      <w:r w:rsidRPr="00BF0D68">
        <w:rPr>
          <w:lang w:eastAsia="en-US" w:bidi="bn-BD"/>
        </w:rPr>
        <w:t xml:space="preserve">which a </w:t>
      </w:r>
      <w:r w:rsidR="003E04A9">
        <w:rPr>
          <w:lang w:eastAsia="en-US" w:bidi="bn-BD"/>
        </w:rPr>
        <w:t>SP</w:t>
      </w:r>
      <w:r>
        <w:rPr>
          <w:lang w:eastAsia="en-US" w:bidi="bn-BD"/>
        </w:rPr>
        <w:t xml:space="preserve"> can submit a </w:t>
      </w:r>
      <w:r w:rsidRPr="00BF0D68">
        <w:rPr>
          <w:lang w:eastAsia="en-US" w:bidi="bn-BD"/>
        </w:rPr>
        <w:t xml:space="preserve">request </w:t>
      </w:r>
      <w:r>
        <w:rPr>
          <w:lang w:eastAsia="en-US" w:bidi="bn-BD"/>
        </w:rPr>
        <w:t xml:space="preserve">to </w:t>
      </w:r>
      <w:r w:rsidRPr="00BF0D68">
        <w:rPr>
          <w:lang w:eastAsia="en-US" w:bidi="bn-BD"/>
        </w:rPr>
        <w:t xml:space="preserve">the </w:t>
      </w:r>
      <w:r>
        <w:rPr>
          <w:lang w:eastAsia="en-US" w:bidi="bn-BD"/>
        </w:rPr>
        <w:t>User’s Operator</w:t>
      </w:r>
      <w:r w:rsidRPr="00BF0D68">
        <w:rPr>
          <w:lang w:eastAsia="en-US" w:bidi="bn-BD"/>
        </w:rPr>
        <w:t xml:space="preserve"> </w:t>
      </w:r>
      <w:r>
        <w:rPr>
          <w:lang w:eastAsia="en-US" w:bidi="bn-BD"/>
        </w:rPr>
        <w:t>(using the User’s mobile phone number (</w:t>
      </w:r>
      <w:proofErr w:type="spellStart"/>
      <w:r>
        <w:rPr>
          <w:lang w:eastAsia="en-US" w:bidi="bn-BD"/>
        </w:rPr>
        <w:t>MSISDN</w:t>
      </w:r>
      <w:proofErr w:type="spellEnd"/>
      <w:r>
        <w:rPr>
          <w:lang w:eastAsia="en-US" w:bidi="bn-BD"/>
        </w:rPr>
        <w:t xml:space="preserve">)) </w:t>
      </w:r>
      <w:r w:rsidRPr="00BF0D68">
        <w:rPr>
          <w:lang w:eastAsia="en-US" w:bidi="bn-BD"/>
        </w:rPr>
        <w:t xml:space="preserve">to </w:t>
      </w:r>
      <w:r>
        <w:rPr>
          <w:lang w:eastAsia="en-US" w:bidi="bn-BD"/>
        </w:rPr>
        <w:t>obtain information on any recent SIM pairing change related to the User’s mobile account.</w:t>
      </w:r>
    </w:p>
    <w:p w14:paraId="65BB762B" w14:textId="77777777" w:rsidR="005015E1" w:rsidRPr="00586776" w:rsidRDefault="005015E1" w:rsidP="005015E1">
      <w:pPr>
        <w:pStyle w:val="Heading2"/>
      </w:pPr>
      <w:bookmarkStart w:id="15" w:name="_Toc453362276"/>
      <w:bookmarkStart w:id="16" w:name="_Toc453767748"/>
      <w:bookmarkStart w:id="17" w:name="_Toc464209906"/>
      <w:bookmarkStart w:id="18" w:name="_Toc466283428"/>
      <w:bookmarkStart w:id="19" w:name="_Toc492978851"/>
      <w:bookmarkStart w:id="20" w:name="_Toc119425887"/>
      <w:bookmarkStart w:id="21" w:name="_Toc121260635"/>
      <w:r w:rsidRPr="00586776">
        <w:t>Scope</w:t>
      </w:r>
      <w:bookmarkEnd w:id="15"/>
      <w:bookmarkEnd w:id="16"/>
      <w:bookmarkEnd w:id="17"/>
      <w:bookmarkEnd w:id="18"/>
      <w:bookmarkEnd w:id="19"/>
      <w:bookmarkEnd w:id="20"/>
      <w:bookmarkEnd w:id="21"/>
    </w:p>
    <w:tbl>
      <w:tblPr>
        <w:tblStyle w:val="TableGrid"/>
        <w:tblW w:w="8831" w:type="dxa"/>
        <w:jc w:val="center"/>
        <w:tblLook w:val="04A0" w:firstRow="1" w:lastRow="0" w:firstColumn="1" w:lastColumn="0" w:noHBand="0" w:noVBand="1"/>
      </w:tblPr>
      <w:tblGrid>
        <w:gridCol w:w="4253"/>
        <w:gridCol w:w="4578"/>
      </w:tblGrid>
      <w:tr w:rsidR="005015E1" w:rsidRPr="00586776" w14:paraId="2D9A386A" w14:textId="77777777" w:rsidTr="002B38A5">
        <w:trPr>
          <w:trHeight w:val="254"/>
          <w:jc w:val="center"/>
        </w:trPr>
        <w:tc>
          <w:tcPr>
            <w:tcW w:w="4253" w:type="dxa"/>
            <w:shd w:val="clear" w:color="auto" w:fill="C00000"/>
          </w:tcPr>
          <w:p w14:paraId="63B14A6D" w14:textId="77777777" w:rsidR="005015E1" w:rsidRPr="00586776" w:rsidRDefault="005015E1" w:rsidP="00BE7EA7">
            <w:pPr>
              <w:pStyle w:val="TableHeader"/>
            </w:pPr>
            <w:r w:rsidRPr="00586776">
              <w:t>In Scope</w:t>
            </w:r>
          </w:p>
        </w:tc>
        <w:tc>
          <w:tcPr>
            <w:tcW w:w="4578" w:type="dxa"/>
            <w:shd w:val="clear" w:color="auto" w:fill="C00000"/>
          </w:tcPr>
          <w:p w14:paraId="23812CA3" w14:textId="77777777" w:rsidR="005015E1" w:rsidRPr="00586776" w:rsidRDefault="005015E1" w:rsidP="00BE7EA7">
            <w:pPr>
              <w:pStyle w:val="TableHeader"/>
            </w:pPr>
            <w:r w:rsidRPr="00586776">
              <w:t>Out of Scope</w:t>
            </w:r>
          </w:p>
        </w:tc>
      </w:tr>
      <w:tr w:rsidR="005015E1" w:rsidRPr="00586776" w14:paraId="16651366" w14:textId="77777777" w:rsidTr="002B38A5">
        <w:trPr>
          <w:trHeight w:val="1391"/>
          <w:jc w:val="center"/>
        </w:trPr>
        <w:tc>
          <w:tcPr>
            <w:tcW w:w="4253" w:type="dxa"/>
          </w:tcPr>
          <w:p w14:paraId="10731420" w14:textId="77777777" w:rsidR="005015E1" w:rsidRDefault="005015E1" w:rsidP="00BE7EA7">
            <w:pPr>
              <w:pStyle w:val="ListBullet1"/>
              <w:spacing w:before="40" w:after="40"/>
              <w:ind w:left="340"/>
              <w:rPr>
                <w:rFonts w:cs="Arial"/>
                <w:sz w:val="20"/>
                <w:szCs w:val="20"/>
              </w:rPr>
            </w:pPr>
            <w:r w:rsidRPr="005B0B1C">
              <w:rPr>
                <w:rFonts w:cs="Arial"/>
                <w:sz w:val="20"/>
                <w:szCs w:val="20"/>
              </w:rPr>
              <w:t xml:space="preserve">Mobile Connect </w:t>
            </w:r>
            <w:r>
              <w:rPr>
                <w:rFonts w:cs="Arial"/>
                <w:sz w:val="20"/>
                <w:szCs w:val="20"/>
              </w:rPr>
              <w:t>Account Takeover Protection (ATP) functional description</w:t>
            </w:r>
          </w:p>
          <w:p w14:paraId="29D7CC65" w14:textId="77777777" w:rsidR="005015E1" w:rsidRDefault="005015E1" w:rsidP="00BE7EA7">
            <w:pPr>
              <w:pStyle w:val="ListBullet1"/>
              <w:spacing w:before="40" w:after="40"/>
              <w:ind w:left="340"/>
              <w:rPr>
                <w:rFonts w:cs="Arial"/>
                <w:sz w:val="20"/>
                <w:szCs w:val="20"/>
              </w:rPr>
            </w:pPr>
            <w:r w:rsidRPr="004B2D20">
              <w:rPr>
                <w:rFonts w:cs="Arial"/>
                <w:sz w:val="20"/>
                <w:szCs w:val="20"/>
              </w:rPr>
              <w:t xml:space="preserve">Mobile Connect Account Takeover Protection technical </w:t>
            </w:r>
            <w:r>
              <w:rPr>
                <w:rFonts w:cs="Arial"/>
                <w:sz w:val="20"/>
                <w:szCs w:val="20"/>
              </w:rPr>
              <w:t>specifications</w:t>
            </w:r>
            <w:r w:rsidRPr="004B2D20">
              <w:rPr>
                <w:rFonts w:cs="Arial"/>
                <w:sz w:val="20"/>
                <w:szCs w:val="20"/>
              </w:rPr>
              <w:t xml:space="preserve"> </w:t>
            </w:r>
          </w:p>
          <w:p w14:paraId="56C8FE14" w14:textId="77777777" w:rsidR="005015E1" w:rsidRPr="00EA7B11" w:rsidRDefault="005015E1" w:rsidP="00BE7EA7">
            <w:pPr>
              <w:pStyle w:val="ListBullet1"/>
              <w:spacing w:before="40" w:after="40"/>
              <w:ind w:left="340"/>
              <w:rPr>
                <w:rFonts w:cs="Arial"/>
                <w:sz w:val="20"/>
                <w:szCs w:val="20"/>
              </w:rPr>
            </w:pPr>
            <w:r>
              <w:rPr>
                <w:rFonts w:cs="Arial"/>
                <w:sz w:val="20"/>
                <w:szCs w:val="20"/>
              </w:rPr>
              <w:t xml:space="preserve">Mobile Connect Account Takeover Protection in Server-Initiated mode. </w:t>
            </w:r>
          </w:p>
        </w:tc>
        <w:tc>
          <w:tcPr>
            <w:tcW w:w="4578" w:type="dxa"/>
          </w:tcPr>
          <w:p w14:paraId="77C838BA" w14:textId="77777777" w:rsidR="005015E1" w:rsidRPr="004B2D20" w:rsidRDefault="005015E1" w:rsidP="00BE7EA7">
            <w:pPr>
              <w:pStyle w:val="ListBullet3"/>
              <w:spacing w:before="40" w:after="40"/>
              <w:ind w:left="317" w:hanging="317"/>
              <w:rPr>
                <w:rFonts w:cs="Arial"/>
                <w:sz w:val="20"/>
                <w:szCs w:val="20"/>
              </w:rPr>
            </w:pPr>
            <w:r w:rsidRPr="004B2D20">
              <w:rPr>
                <w:rFonts w:cs="Arial"/>
                <w:sz w:val="20"/>
                <w:szCs w:val="20"/>
              </w:rPr>
              <w:t xml:space="preserve">Provision of any </w:t>
            </w:r>
            <w:r>
              <w:rPr>
                <w:rFonts w:cs="Arial"/>
                <w:sz w:val="20"/>
                <w:szCs w:val="20"/>
              </w:rPr>
              <w:t>User</w:t>
            </w:r>
            <w:r w:rsidRPr="004B2D20">
              <w:rPr>
                <w:rFonts w:cs="Arial"/>
                <w:sz w:val="20"/>
                <w:szCs w:val="20"/>
              </w:rPr>
              <w:t xml:space="preserve"> information (such as customer category) to complement the ATP result</w:t>
            </w:r>
          </w:p>
          <w:p w14:paraId="57353440" w14:textId="77777777" w:rsidR="005015E1" w:rsidRPr="0099557D" w:rsidRDefault="005015E1" w:rsidP="00BE7EA7">
            <w:pPr>
              <w:pStyle w:val="ListBullet3"/>
              <w:spacing w:before="40" w:after="40"/>
              <w:ind w:left="317" w:hanging="317"/>
              <w:rPr>
                <w:rFonts w:cs="Arial"/>
                <w:sz w:val="20"/>
                <w:szCs w:val="20"/>
              </w:rPr>
            </w:pPr>
            <w:r>
              <w:rPr>
                <w:rFonts w:cs="Arial"/>
                <w:sz w:val="20"/>
                <w:szCs w:val="20"/>
              </w:rPr>
              <w:t>Detailed Privacy and Trust Principles</w:t>
            </w:r>
          </w:p>
          <w:p w14:paraId="2F225EAE" w14:textId="77777777" w:rsidR="005015E1" w:rsidRDefault="005015E1" w:rsidP="00BE7EA7">
            <w:pPr>
              <w:pStyle w:val="ListBullet3"/>
              <w:spacing w:before="40" w:after="40"/>
              <w:ind w:left="317" w:hanging="317"/>
              <w:rPr>
                <w:rFonts w:cs="Arial"/>
                <w:sz w:val="20"/>
                <w:szCs w:val="20"/>
              </w:rPr>
            </w:pPr>
            <w:r>
              <w:rPr>
                <w:rFonts w:cs="Arial"/>
                <w:sz w:val="20"/>
                <w:szCs w:val="20"/>
              </w:rPr>
              <w:t>UI/</w:t>
            </w:r>
            <w:proofErr w:type="spellStart"/>
            <w:r>
              <w:rPr>
                <w:rFonts w:cs="Arial"/>
                <w:sz w:val="20"/>
                <w:szCs w:val="20"/>
              </w:rPr>
              <w:t>UX</w:t>
            </w:r>
            <w:proofErr w:type="spellEnd"/>
            <w:r>
              <w:rPr>
                <w:rFonts w:cs="Arial"/>
                <w:sz w:val="20"/>
                <w:szCs w:val="20"/>
              </w:rPr>
              <w:t xml:space="preserve"> guidelines</w:t>
            </w:r>
          </w:p>
          <w:p w14:paraId="54971479" w14:textId="77777777" w:rsidR="005015E1" w:rsidRDefault="005015E1" w:rsidP="00BE7EA7">
            <w:pPr>
              <w:pStyle w:val="ListBullet3"/>
              <w:spacing w:before="40" w:after="40"/>
              <w:ind w:left="317" w:hanging="317"/>
              <w:rPr>
                <w:rFonts w:cs="Arial"/>
                <w:sz w:val="20"/>
                <w:szCs w:val="20"/>
              </w:rPr>
            </w:pPr>
            <w:r>
              <w:rPr>
                <w:rFonts w:cs="Arial"/>
                <w:sz w:val="20"/>
                <w:szCs w:val="20"/>
              </w:rPr>
              <w:t>Mobile Connect ATP commercial propositions</w:t>
            </w:r>
          </w:p>
          <w:p w14:paraId="42F948F0" w14:textId="77777777" w:rsidR="005015E1" w:rsidRDefault="005015E1" w:rsidP="00BE7EA7">
            <w:pPr>
              <w:pStyle w:val="ListBullet3"/>
              <w:spacing w:before="40" w:after="40"/>
              <w:ind w:left="317" w:hanging="317"/>
              <w:rPr>
                <w:rFonts w:cs="Arial"/>
                <w:sz w:val="20"/>
                <w:szCs w:val="20"/>
              </w:rPr>
            </w:pPr>
            <w:r>
              <w:rPr>
                <w:rFonts w:cs="Arial"/>
                <w:sz w:val="20"/>
                <w:szCs w:val="20"/>
              </w:rPr>
              <w:t>Service provider / developer implementation guidelines</w:t>
            </w:r>
          </w:p>
          <w:p w14:paraId="706FF700" w14:textId="77777777" w:rsidR="005015E1" w:rsidRDefault="005015E1" w:rsidP="00BE7EA7">
            <w:pPr>
              <w:pStyle w:val="ListBullet3"/>
              <w:spacing w:before="40" w:after="40"/>
              <w:ind w:left="317" w:hanging="317"/>
              <w:rPr>
                <w:rFonts w:cs="Arial"/>
                <w:sz w:val="20"/>
                <w:szCs w:val="20"/>
              </w:rPr>
            </w:pPr>
            <w:r>
              <w:rPr>
                <w:rFonts w:cs="Arial"/>
                <w:sz w:val="20"/>
                <w:szCs w:val="20"/>
              </w:rPr>
              <w:t xml:space="preserve">Mobile Connect Account Takeover Protect implementation in Device-Initiated mode. </w:t>
            </w:r>
          </w:p>
          <w:p w14:paraId="1263B6B6" w14:textId="77777777" w:rsidR="005015E1" w:rsidRPr="005B0B1C" w:rsidRDefault="005015E1" w:rsidP="00BE7EA7">
            <w:pPr>
              <w:pStyle w:val="ListBullet3"/>
              <w:numPr>
                <w:ilvl w:val="0"/>
                <w:numId w:val="0"/>
              </w:numPr>
              <w:spacing w:before="40" w:after="40"/>
              <w:ind w:left="317"/>
              <w:rPr>
                <w:rFonts w:cs="Arial"/>
                <w:sz w:val="20"/>
                <w:szCs w:val="20"/>
              </w:rPr>
            </w:pPr>
          </w:p>
        </w:tc>
      </w:tr>
    </w:tbl>
    <w:p w14:paraId="2CB0B14D" w14:textId="02800319" w:rsidR="006E28FA" w:rsidRDefault="006E28FA" w:rsidP="005015E1">
      <w:pPr>
        <w:pStyle w:val="Heading2"/>
        <w:jc w:val="both"/>
      </w:pPr>
      <w:bookmarkStart w:id="22" w:name="_Toc119425888"/>
      <w:bookmarkStart w:id="23" w:name="_Toc516761942"/>
      <w:bookmarkStart w:id="24" w:name="_Toc519249799"/>
      <w:bookmarkStart w:id="25" w:name="_Toc521683487"/>
      <w:bookmarkStart w:id="26" w:name="_Toc443047780"/>
      <w:bookmarkStart w:id="27" w:name="_Toc121260636"/>
      <w:r>
        <w:t>Abbreviations</w:t>
      </w:r>
      <w:bookmarkEnd w:id="22"/>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BC6C4E" w14:paraId="1F971751" w14:textId="77777777" w:rsidTr="00E63116">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C00000"/>
            <w:hideMark/>
          </w:tcPr>
          <w:p w14:paraId="6F2A8248" w14:textId="77777777" w:rsidR="00BC6C4E" w:rsidRDefault="00BC6C4E" w:rsidP="00E63116">
            <w:pPr>
              <w:pStyle w:val="TableHeader"/>
            </w:pPr>
            <w:bookmarkStart w:id="28" w:name="_Toc333330451"/>
            <w:r>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C00000"/>
            <w:hideMark/>
          </w:tcPr>
          <w:p w14:paraId="4CD4ED0E" w14:textId="77777777" w:rsidR="00BC6C4E" w:rsidRDefault="00BC6C4E" w:rsidP="00E63116">
            <w:pPr>
              <w:pStyle w:val="TableHeader"/>
            </w:pPr>
            <w:r>
              <w:t>Description</w:t>
            </w:r>
          </w:p>
        </w:tc>
      </w:tr>
      <w:tr w:rsidR="00BC6C4E" w14:paraId="5B183E0D" w14:textId="77777777" w:rsidTr="00E63116">
        <w:tc>
          <w:tcPr>
            <w:tcW w:w="1230" w:type="dxa"/>
            <w:tcBorders>
              <w:top w:val="single" w:sz="4" w:space="0" w:color="auto"/>
              <w:left w:val="single" w:sz="4" w:space="0" w:color="auto"/>
              <w:bottom w:val="single" w:sz="4" w:space="0" w:color="auto"/>
              <w:right w:val="single" w:sz="4" w:space="0" w:color="auto"/>
            </w:tcBorders>
            <w:vAlign w:val="center"/>
            <w:hideMark/>
          </w:tcPr>
          <w:p w14:paraId="0266411E" w14:textId="77777777" w:rsidR="00BC6C4E" w:rsidRDefault="00BC6C4E" w:rsidP="00E63116">
            <w:pPr>
              <w:pStyle w:val="TableText"/>
              <w:rPr>
                <w:rFonts w:cs="Arial"/>
              </w:rPr>
            </w:pPr>
            <w:r>
              <w:rPr>
                <w:rFonts w:cs="Arial"/>
              </w:rPr>
              <w:t>API</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7DCC257" w14:textId="77777777" w:rsidR="00BC6C4E" w:rsidRDefault="00BC6C4E" w:rsidP="00E63116">
            <w:pPr>
              <w:pStyle w:val="TableText"/>
              <w:rPr>
                <w:rFonts w:cs="Arial"/>
              </w:rPr>
            </w:pPr>
            <w:r>
              <w:rPr>
                <w:rFonts w:cs="Arial"/>
              </w:rPr>
              <w:t>Application Programming Interface</w:t>
            </w:r>
          </w:p>
        </w:tc>
      </w:tr>
      <w:tr w:rsidR="00E5321F" w14:paraId="7582F3BD" w14:textId="77777777" w:rsidTr="00E63116">
        <w:tc>
          <w:tcPr>
            <w:tcW w:w="1230" w:type="dxa"/>
            <w:tcBorders>
              <w:top w:val="single" w:sz="4" w:space="0" w:color="auto"/>
              <w:left w:val="single" w:sz="4" w:space="0" w:color="auto"/>
              <w:bottom w:val="single" w:sz="4" w:space="0" w:color="auto"/>
              <w:right w:val="single" w:sz="4" w:space="0" w:color="auto"/>
            </w:tcBorders>
            <w:vAlign w:val="center"/>
          </w:tcPr>
          <w:p w14:paraId="44119BE0" w14:textId="538AE6A2" w:rsidR="00E5321F" w:rsidRDefault="00E5321F" w:rsidP="00E63116">
            <w:pPr>
              <w:pStyle w:val="TableText"/>
              <w:rPr>
                <w:rFonts w:cs="Arial"/>
              </w:rPr>
            </w:pPr>
            <w:r>
              <w:rPr>
                <w:rFonts w:cs="Arial"/>
              </w:rPr>
              <w:t>ATP</w:t>
            </w:r>
          </w:p>
        </w:tc>
        <w:tc>
          <w:tcPr>
            <w:tcW w:w="7786" w:type="dxa"/>
            <w:tcBorders>
              <w:top w:val="single" w:sz="4" w:space="0" w:color="auto"/>
              <w:left w:val="single" w:sz="4" w:space="0" w:color="auto"/>
              <w:bottom w:val="single" w:sz="4" w:space="0" w:color="auto"/>
              <w:right w:val="single" w:sz="4" w:space="0" w:color="auto"/>
            </w:tcBorders>
            <w:vAlign w:val="center"/>
          </w:tcPr>
          <w:p w14:paraId="7295BD10" w14:textId="7D908A9C" w:rsidR="00E5321F" w:rsidRDefault="00E5321F" w:rsidP="00E63116">
            <w:pPr>
              <w:pStyle w:val="TableText"/>
              <w:rPr>
                <w:rFonts w:cs="Arial"/>
              </w:rPr>
            </w:pPr>
            <w:r>
              <w:rPr>
                <w:rFonts w:cs="Arial"/>
              </w:rPr>
              <w:t>Account Takeover Protection</w:t>
            </w:r>
          </w:p>
        </w:tc>
      </w:tr>
      <w:tr w:rsidR="00E5321F" w14:paraId="098978E4" w14:textId="77777777" w:rsidTr="00E63116">
        <w:tc>
          <w:tcPr>
            <w:tcW w:w="1230" w:type="dxa"/>
            <w:tcBorders>
              <w:top w:val="single" w:sz="4" w:space="0" w:color="auto"/>
              <w:left w:val="single" w:sz="4" w:space="0" w:color="auto"/>
              <w:bottom w:val="single" w:sz="4" w:space="0" w:color="auto"/>
              <w:right w:val="single" w:sz="4" w:space="0" w:color="auto"/>
            </w:tcBorders>
            <w:vAlign w:val="center"/>
          </w:tcPr>
          <w:p w14:paraId="770E4108" w14:textId="26040D99" w:rsidR="00E5321F" w:rsidRDefault="00E5321F" w:rsidP="00E63116">
            <w:pPr>
              <w:pStyle w:val="TableText"/>
              <w:rPr>
                <w:rFonts w:cs="Arial"/>
              </w:rPr>
            </w:pPr>
            <w:r>
              <w:rPr>
                <w:rFonts w:cs="Arial"/>
              </w:rPr>
              <w:t>CIBA</w:t>
            </w:r>
          </w:p>
        </w:tc>
        <w:tc>
          <w:tcPr>
            <w:tcW w:w="7786" w:type="dxa"/>
            <w:tcBorders>
              <w:top w:val="single" w:sz="4" w:space="0" w:color="auto"/>
              <w:left w:val="single" w:sz="4" w:space="0" w:color="auto"/>
              <w:bottom w:val="single" w:sz="4" w:space="0" w:color="auto"/>
              <w:right w:val="single" w:sz="4" w:space="0" w:color="auto"/>
            </w:tcBorders>
            <w:vAlign w:val="center"/>
          </w:tcPr>
          <w:p w14:paraId="78E1CD2F" w14:textId="0E32645E" w:rsidR="00E5321F" w:rsidRDefault="00E5321F" w:rsidP="00E63116">
            <w:pPr>
              <w:pStyle w:val="TableText"/>
              <w:rPr>
                <w:rFonts w:cs="Arial"/>
              </w:rPr>
            </w:pPr>
            <w:r>
              <w:rPr>
                <w:rFonts w:cs="Arial"/>
              </w:rPr>
              <w:t>Client Initiated Backchannel Authentication</w:t>
            </w:r>
          </w:p>
        </w:tc>
      </w:tr>
      <w:tr w:rsidR="00BC6C4E" w14:paraId="21068417" w14:textId="77777777" w:rsidTr="00E63116">
        <w:tc>
          <w:tcPr>
            <w:tcW w:w="1230" w:type="dxa"/>
            <w:tcBorders>
              <w:top w:val="single" w:sz="4" w:space="0" w:color="auto"/>
              <w:left w:val="single" w:sz="4" w:space="0" w:color="auto"/>
              <w:bottom w:val="single" w:sz="4" w:space="0" w:color="auto"/>
              <w:right w:val="single" w:sz="4" w:space="0" w:color="auto"/>
            </w:tcBorders>
            <w:vAlign w:val="center"/>
            <w:hideMark/>
          </w:tcPr>
          <w:p w14:paraId="7F552568" w14:textId="77777777" w:rsidR="00BC6C4E" w:rsidRDefault="00BC6C4E" w:rsidP="00E63116">
            <w:pPr>
              <w:pStyle w:val="TableText"/>
              <w:rPr>
                <w:rFonts w:cs="Arial"/>
              </w:rPr>
            </w:pPr>
            <w:r>
              <w:rPr>
                <w:rFonts w:cs="Arial"/>
              </w:rPr>
              <w:t>HTTP</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088F408" w14:textId="77777777" w:rsidR="00BC6C4E" w:rsidRDefault="00BC6C4E" w:rsidP="00E63116">
            <w:pPr>
              <w:pStyle w:val="TableText"/>
              <w:rPr>
                <w:rFonts w:cs="Arial"/>
              </w:rPr>
            </w:pPr>
            <w:r>
              <w:rPr>
                <w:rFonts w:cs="Arial"/>
              </w:rPr>
              <w:t xml:space="preserve">Hyper Text Transport Protocol </w:t>
            </w:r>
          </w:p>
        </w:tc>
      </w:tr>
      <w:tr w:rsidR="00BC6C4E" w14:paraId="2ADF6AA2" w14:textId="77777777" w:rsidTr="00E63116">
        <w:tc>
          <w:tcPr>
            <w:tcW w:w="1230" w:type="dxa"/>
            <w:tcBorders>
              <w:top w:val="single" w:sz="4" w:space="0" w:color="auto"/>
              <w:left w:val="single" w:sz="4" w:space="0" w:color="auto"/>
              <w:bottom w:val="single" w:sz="4" w:space="0" w:color="auto"/>
              <w:right w:val="single" w:sz="4" w:space="0" w:color="auto"/>
            </w:tcBorders>
            <w:vAlign w:val="center"/>
            <w:hideMark/>
          </w:tcPr>
          <w:p w14:paraId="12062E24" w14:textId="77777777" w:rsidR="00BC6C4E" w:rsidRDefault="00BC6C4E" w:rsidP="00E63116">
            <w:pPr>
              <w:pStyle w:val="TableText"/>
              <w:rPr>
                <w:rFonts w:cs="Arial"/>
              </w:rPr>
            </w:pPr>
            <w:r>
              <w:rPr>
                <w:rFonts w:cs="Arial"/>
              </w:rPr>
              <w:t xml:space="preserve">ID GW </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224DA82" w14:textId="77777777" w:rsidR="00BC6C4E" w:rsidRDefault="00BC6C4E" w:rsidP="00E63116">
            <w:pPr>
              <w:pStyle w:val="TableText"/>
              <w:rPr>
                <w:rFonts w:cs="Arial"/>
              </w:rPr>
            </w:pPr>
            <w:r>
              <w:rPr>
                <w:rFonts w:cs="Arial"/>
              </w:rPr>
              <w:t xml:space="preserve">Identity Provider: The entity providing the authentication and Identify services, </w:t>
            </w:r>
            <w:proofErr w:type="gramStart"/>
            <w:r>
              <w:rPr>
                <w:rFonts w:cs="Arial"/>
              </w:rPr>
              <w:t>e.g.</w:t>
            </w:r>
            <w:proofErr w:type="gramEnd"/>
            <w:r>
              <w:rPr>
                <w:rFonts w:cs="Arial"/>
              </w:rPr>
              <w:t xml:space="preserve"> the operator </w:t>
            </w:r>
          </w:p>
        </w:tc>
      </w:tr>
      <w:tr w:rsidR="004B5E2C" w14:paraId="42BABAF6" w14:textId="77777777" w:rsidTr="00E63116">
        <w:tc>
          <w:tcPr>
            <w:tcW w:w="1230" w:type="dxa"/>
            <w:tcBorders>
              <w:top w:val="single" w:sz="4" w:space="0" w:color="auto"/>
              <w:left w:val="single" w:sz="4" w:space="0" w:color="auto"/>
              <w:bottom w:val="single" w:sz="4" w:space="0" w:color="auto"/>
              <w:right w:val="single" w:sz="4" w:space="0" w:color="auto"/>
            </w:tcBorders>
            <w:vAlign w:val="center"/>
          </w:tcPr>
          <w:p w14:paraId="29AEFD38" w14:textId="6F1A4090" w:rsidR="004B5E2C" w:rsidRDefault="004B5E2C" w:rsidP="00E63116">
            <w:pPr>
              <w:pStyle w:val="TableText"/>
              <w:rPr>
                <w:rFonts w:cs="Arial"/>
              </w:rPr>
            </w:pPr>
            <w:r>
              <w:rPr>
                <w:rFonts w:cs="Arial"/>
              </w:rPr>
              <w:t>IMSI</w:t>
            </w:r>
          </w:p>
        </w:tc>
        <w:tc>
          <w:tcPr>
            <w:tcW w:w="7786" w:type="dxa"/>
            <w:tcBorders>
              <w:top w:val="single" w:sz="4" w:space="0" w:color="auto"/>
              <w:left w:val="single" w:sz="4" w:space="0" w:color="auto"/>
              <w:bottom w:val="single" w:sz="4" w:space="0" w:color="auto"/>
              <w:right w:val="single" w:sz="4" w:space="0" w:color="auto"/>
            </w:tcBorders>
            <w:vAlign w:val="center"/>
          </w:tcPr>
          <w:p w14:paraId="39350983" w14:textId="50496A0B" w:rsidR="004B5E2C" w:rsidRDefault="004B5E2C" w:rsidP="00E63116">
            <w:pPr>
              <w:pStyle w:val="TableText"/>
              <w:rPr>
                <w:rFonts w:cs="Arial"/>
              </w:rPr>
            </w:pPr>
            <w:r>
              <w:rPr>
                <w:rFonts w:cs="Arial"/>
              </w:rPr>
              <w:t>International Mobile Subscriber Identity</w:t>
            </w:r>
          </w:p>
        </w:tc>
      </w:tr>
      <w:tr w:rsidR="00BC6C4E" w14:paraId="497241F2" w14:textId="77777777" w:rsidTr="00E63116">
        <w:tc>
          <w:tcPr>
            <w:tcW w:w="1230" w:type="dxa"/>
            <w:tcBorders>
              <w:top w:val="single" w:sz="4" w:space="0" w:color="auto"/>
              <w:left w:val="single" w:sz="4" w:space="0" w:color="auto"/>
              <w:bottom w:val="single" w:sz="4" w:space="0" w:color="auto"/>
              <w:right w:val="single" w:sz="4" w:space="0" w:color="auto"/>
            </w:tcBorders>
            <w:vAlign w:val="center"/>
            <w:hideMark/>
          </w:tcPr>
          <w:p w14:paraId="580A89ED" w14:textId="77777777" w:rsidR="00BC6C4E" w:rsidRDefault="00BC6C4E" w:rsidP="00E63116">
            <w:pPr>
              <w:pStyle w:val="TableText"/>
              <w:rPr>
                <w:rFonts w:cs="Arial"/>
              </w:rPr>
            </w:pPr>
            <w:proofErr w:type="spellStart"/>
            <w:r>
              <w:rPr>
                <w:rFonts w:cs="Arial"/>
              </w:rPr>
              <w:t>LoA</w:t>
            </w:r>
            <w:proofErr w:type="spellEnd"/>
          </w:p>
        </w:tc>
        <w:tc>
          <w:tcPr>
            <w:tcW w:w="7786" w:type="dxa"/>
            <w:tcBorders>
              <w:top w:val="single" w:sz="4" w:space="0" w:color="auto"/>
              <w:left w:val="single" w:sz="4" w:space="0" w:color="auto"/>
              <w:bottom w:val="single" w:sz="4" w:space="0" w:color="auto"/>
              <w:right w:val="single" w:sz="4" w:space="0" w:color="auto"/>
            </w:tcBorders>
            <w:vAlign w:val="center"/>
            <w:hideMark/>
          </w:tcPr>
          <w:p w14:paraId="275A2CB7" w14:textId="77777777" w:rsidR="00BC6C4E" w:rsidRDefault="00BC6C4E" w:rsidP="00E63116">
            <w:pPr>
              <w:pStyle w:val="TableText"/>
              <w:rPr>
                <w:rFonts w:cs="Arial"/>
              </w:rPr>
            </w:pPr>
            <w:r>
              <w:rPr>
                <w:rFonts w:cs="Arial"/>
              </w:rPr>
              <w:t>Level of Assurance</w:t>
            </w:r>
          </w:p>
        </w:tc>
      </w:tr>
      <w:tr w:rsidR="004B5E2C" w14:paraId="777C4CE6" w14:textId="77777777" w:rsidTr="00E63116">
        <w:tc>
          <w:tcPr>
            <w:tcW w:w="1230" w:type="dxa"/>
            <w:tcBorders>
              <w:top w:val="single" w:sz="4" w:space="0" w:color="auto"/>
              <w:left w:val="single" w:sz="4" w:space="0" w:color="auto"/>
              <w:bottom w:val="single" w:sz="4" w:space="0" w:color="auto"/>
              <w:right w:val="single" w:sz="4" w:space="0" w:color="auto"/>
            </w:tcBorders>
            <w:vAlign w:val="center"/>
          </w:tcPr>
          <w:p w14:paraId="1769C4C6" w14:textId="769F0837" w:rsidR="004B5E2C" w:rsidRDefault="004B5E2C" w:rsidP="00E63116">
            <w:pPr>
              <w:pStyle w:val="TableText"/>
              <w:rPr>
                <w:rFonts w:cs="Arial"/>
              </w:rPr>
            </w:pPr>
            <w:proofErr w:type="spellStart"/>
            <w:r>
              <w:lastRenderedPageBreak/>
              <w:t>MSISDN</w:t>
            </w:r>
            <w:proofErr w:type="spellEnd"/>
          </w:p>
        </w:tc>
        <w:tc>
          <w:tcPr>
            <w:tcW w:w="7786" w:type="dxa"/>
            <w:tcBorders>
              <w:top w:val="single" w:sz="4" w:space="0" w:color="auto"/>
              <w:left w:val="single" w:sz="4" w:space="0" w:color="auto"/>
              <w:bottom w:val="single" w:sz="4" w:space="0" w:color="auto"/>
              <w:right w:val="single" w:sz="4" w:space="0" w:color="auto"/>
            </w:tcBorders>
            <w:vAlign w:val="center"/>
          </w:tcPr>
          <w:p w14:paraId="4FAE944E" w14:textId="1802E56E" w:rsidR="004B5E2C" w:rsidRPr="004B5E2C" w:rsidRDefault="004B5E2C" w:rsidP="004B5E2C">
            <w:r>
              <w:rPr>
                <w:rFonts w:ascii="Arial" w:hAnsi="Arial" w:cs="Arial"/>
                <w:color w:val="222222"/>
                <w:shd w:val="clear" w:color="auto" w:fill="FFFFFF"/>
              </w:rPr>
              <w:t>Mobile Station International Subscriber Directory Number</w:t>
            </w:r>
          </w:p>
        </w:tc>
      </w:tr>
      <w:tr w:rsidR="00BC6C4E" w14:paraId="7A51062F" w14:textId="77777777" w:rsidTr="00E63116">
        <w:tc>
          <w:tcPr>
            <w:tcW w:w="1230" w:type="dxa"/>
            <w:tcBorders>
              <w:top w:val="single" w:sz="4" w:space="0" w:color="auto"/>
              <w:left w:val="single" w:sz="4" w:space="0" w:color="auto"/>
              <w:bottom w:val="single" w:sz="4" w:space="0" w:color="auto"/>
              <w:right w:val="single" w:sz="4" w:space="0" w:color="auto"/>
            </w:tcBorders>
            <w:vAlign w:val="center"/>
            <w:hideMark/>
          </w:tcPr>
          <w:p w14:paraId="3F58B61C" w14:textId="77777777" w:rsidR="00BC6C4E" w:rsidRDefault="00BC6C4E" w:rsidP="00E63116">
            <w:pPr>
              <w:pStyle w:val="TableText"/>
              <w:rPr>
                <w:rFonts w:cs="Arial"/>
              </w:rPr>
            </w:pPr>
            <w:proofErr w:type="spellStart"/>
            <w:r>
              <w:rPr>
                <w:rFonts w:cs="Arial"/>
              </w:rPr>
              <w:t>OIDC</w:t>
            </w:r>
            <w:proofErr w:type="spellEnd"/>
            <w:r>
              <w:rPr>
                <w:rFonts w:cs="Arial"/>
              </w:rPr>
              <w:t xml:space="preserve"> </w:t>
            </w:r>
          </w:p>
        </w:tc>
        <w:tc>
          <w:tcPr>
            <w:tcW w:w="7786" w:type="dxa"/>
            <w:tcBorders>
              <w:top w:val="single" w:sz="4" w:space="0" w:color="auto"/>
              <w:left w:val="single" w:sz="4" w:space="0" w:color="auto"/>
              <w:bottom w:val="single" w:sz="4" w:space="0" w:color="auto"/>
              <w:right w:val="single" w:sz="4" w:space="0" w:color="auto"/>
            </w:tcBorders>
            <w:vAlign w:val="center"/>
            <w:hideMark/>
          </w:tcPr>
          <w:p w14:paraId="494F17CE" w14:textId="77777777" w:rsidR="00BC6C4E" w:rsidRDefault="00BC6C4E" w:rsidP="00E63116">
            <w:pPr>
              <w:pStyle w:val="TableText"/>
              <w:rPr>
                <w:rFonts w:cs="Arial"/>
              </w:rPr>
            </w:pPr>
            <w:r>
              <w:rPr>
                <w:rFonts w:cs="Arial"/>
              </w:rPr>
              <w:t xml:space="preserve">OpenID Connect </w:t>
            </w:r>
          </w:p>
        </w:tc>
      </w:tr>
      <w:tr w:rsidR="00BC6C4E" w14:paraId="1316213A" w14:textId="77777777" w:rsidTr="00E63116">
        <w:tc>
          <w:tcPr>
            <w:tcW w:w="1230" w:type="dxa"/>
            <w:tcBorders>
              <w:top w:val="single" w:sz="4" w:space="0" w:color="auto"/>
              <w:left w:val="single" w:sz="4" w:space="0" w:color="auto"/>
              <w:bottom w:val="single" w:sz="4" w:space="0" w:color="auto"/>
              <w:right w:val="single" w:sz="4" w:space="0" w:color="auto"/>
            </w:tcBorders>
            <w:vAlign w:val="center"/>
            <w:hideMark/>
          </w:tcPr>
          <w:p w14:paraId="11673CCD" w14:textId="77777777" w:rsidR="00BC6C4E" w:rsidRDefault="00BC6C4E" w:rsidP="00E63116">
            <w:pPr>
              <w:pStyle w:val="TableText"/>
              <w:rPr>
                <w:rFonts w:cs="Arial"/>
              </w:rPr>
            </w:pPr>
            <w:r>
              <w:rPr>
                <w:rFonts w:cs="Arial"/>
              </w:rPr>
              <w:t>PCR</w:t>
            </w:r>
          </w:p>
        </w:tc>
        <w:tc>
          <w:tcPr>
            <w:tcW w:w="7786" w:type="dxa"/>
            <w:tcBorders>
              <w:top w:val="single" w:sz="4" w:space="0" w:color="auto"/>
              <w:left w:val="single" w:sz="4" w:space="0" w:color="auto"/>
              <w:bottom w:val="single" w:sz="4" w:space="0" w:color="auto"/>
              <w:right w:val="single" w:sz="4" w:space="0" w:color="auto"/>
            </w:tcBorders>
            <w:vAlign w:val="center"/>
            <w:hideMark/>
          </w:tcPr>
          <w:p w14:paraId="40944489" w14:textId="77777777" w:rsidR="00BC6C4E" w:rsidRDefault="00BC6C4E" w:rsidP="00E63116">
            <w:pPr>
              <w:pStyle w:val="TableText"/>
              <w:rPr>
                <w:rFonts w:cs="Arial"/>
              </w:rPr>
            </w:pPr>
            <w:r>
              <w:rPr>
                <w:rFonts w:cs="Arial"/>
              </w:rPr>
              <w:t xml:space="preserve">Pseudonymous Customer Reference </w:t>
            </w:r>
          </w:p>
        </w:tc>
      </w:tr>
      <w:tr w:rsidR="00BC6C4E" w14:paraId="15461714" w14:textId="77777777" w:rsidTr="00E63116">
        <w:tc>
          <w:tcPr>
            <w:tcW w:w="1230" w:type="dxa"/>
            <w:tcBorders>
              <w:top w:val="single" w:sz="4" w:space="0" w:color="auto"/>
              <w:left w:val="single" w:sz="4" w:space="0" w:color="auto"/>
              <w:bottom w:val="single" w:sz="4" w:space="0" w:color="auto"/>
              <w:right w:val="single" w:sz="4" w:space="0" w:color="auto"/>
            </w:tcBorders>
            <w:vAlign w:val="center"/>
            <w:hideMark/>
          </w:tcPr>
          <w:p w14:paraId="53055F4C" w14:textId="77777777" w:rsidR="00BC6C4E" w:rsidRDefault="00BC6C4E" w:rsidP="00E63116">
            <w:pPr>
              <w:pStyle w:val="TableText"/>
              <w:rPr>
                <w:rFonts w:cs="Arial"/>
              </w:rPr>
            </w:pPr>
            <w:r>
              <w:rPr>
                <w:rFonts w:cs="Arial"/>
              </w:rPr>
              <w:t>RFC</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025CD6A" w14:textId="77777777" w:rsidR="00BC6C4E" w:rsidRDefault="00BC6C4E" w:rsidP="00E63116">
            <w:pPr>
              <w:pStyle w:val="TableText"/>
              <w:rPr>
                <w:rFonts w:cs="Arial"/>
              </w:rPr>
            </w:pPr>
            <w:r>
              <w:rPr>
                <w:rFonts w:cs="Arial"/>
              </w:rPr>
              <w:t>Request For Comments</w:t>
            </w:r>
          </w:p>
        </w:tc>
      </w:tr>
      <w:tr w:rsidR="002857B1" w14:paraId="34887799" w14:textId="77777777" w:rsidTr="00E63116">
        <w:tc>
          <w:tcPr>
            <w:tcW w:w="1230" w:type="dxa"/>
            <w:tcBorders>
              <w:top w:val="single" w:sz="4" w:space="0" w:color="auto"/>
              <w:left w:val="single" w:sz="4" w:space="0" w:color="auto"/>
              <w:bottom w:val="single" w:sz="4" w:space="0" w:color="auto"/>
              <w:right w:val="single" w:sz="4" w:space="0" w:color="auto"/>
            </w:tcBorders>
            <w:vAlign w:val="center"/>
          </w:tcPr>
          <w:p w14:paraId="2DFD2AE0" w14:textId="4CE376BB" w:rsidR="002857B1" w:rsidRDefault="002857B1" w:rsidP="00E63116">
            <w:pPr>
              <w:pStyle w:val="TableText"/>
              <w:rPr>
                <w:rFonts w:cs="Arial"/>
              </w:rPr>
            </w:pPr>
            <w:r>
              <w:rPr>
                <w:rFonts w:cs="Arial"/>
              </w:rPr>
              <w:t>SIM</w:t>
            </w:r>
          </w:p>
        </w:tc>
        <w:tc>
          <w:tcPr>
            <w:tcW w:w="7786" w:type="dxa"/>
            <w:tcBorders>
              <w:top w:val="single" w:sz="4" w:space="0" w:color="auto"/>
              <w:left w:val="single" w:sz="4" w:space="0" w:color="auto"/>
              <w:bottom w:val="single" w:sz="4" w:space="0" w:color="auto"/>
              <w:right w:val="single" w:sz="4" w:space="0" w:color="auto"/>
            </w:tcBorders>
            <w:vAlign w:val="center"/>
          </w:tcPr>
          <w:p w14:paraId="64629203" w14:textId="2B18E3AF" w:rsidR="002857B1" w:rsidRDefault="002857B1" w:rsidP="00E63116">
            <w:pPr>
              <w:pStyle w:val="TableText"/>
              <w:rPr>
                <w:rFonts w:cs="Arial"/>
              </w:rPr>
            </w:pPr>
            <w:r>
              <w:rPr>
                <w:rFonts w:cs="Arial"/>
              </w:rPr>
              <w:t>Subscriber Identification Module</w:t>
            </w:r>
          </w:p>
        </w:tc>
      </w:tr>
      <w:tr w:rsidR="00BC6C4E" w14:paraId="31844FB0" w14:textId="77777777" w:rsidTr="00E63116">
        <w:tc>
          <w:tcPr>
            <w:tcW w:w="1230" w:type="dxa"/>
            <w:tcBorders>
              <w:top w:val="single" w:sz="4" w:space="0" w:color="auto"/>
              <w:left w:val="single" w:sz="4" w:space="0" w:color="auto"/>
              <w:bottom w:val="single" w:sz="4" w:space="0" w:color="auto"/>
              <w:right w:val="single" w:sz="4" w:space="0" w:color="auto"/>
            </w:tcBorders>
            <w:vAlign w:val="center"/>
            <w:hideMark/>
          </w:tcPr>
          <w:p w14:paraId="77E8CA48" w14:textId="77777777" w:rsidR="00BC6C4E" w:rsidRDefault="00BC6C4E" w:rsidP="00E63116">
            <w:pPr>
              <w:pStyle w:val="TableText"/>
              <w:rPr>
                <w:rFonts w:cs="Arial"/>
              </w:rPr>
            </w:pPr>
            <w:r>
              <w:rPr>
                <w:rFonts w:cs="Arial"/>
              </w:rPr>
              <w:t>SP</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8A51E33" w14:textId="77777777" w:rsidR="00BC6C4E" w:rsidRDefault="00BC6C4E" w:rsidP="00E63116">
            <w:pPr>
              <w:pStyle w:val="TableText"/>
              <w:rPr>
                <w:rFonts w:cs="Arial"/>
              </w:rPr>
            </w:pPr>
            <w:r>
              <w:rPr>
                <w:rFonts w:cs="Arial"/>
              </w:rPr>
              <w:t xml:space="preserve">Service Provider </w:t>
            </w:r>
          </w:p>
        </w:tc>
      </w:tr>
      <w:tr w:rsidR="00BC6C4E" w14:paraId="4F602979" w14:textId="77777777" w:rsidTr="00E63116">
        <w:tc>
          <w:tcPr>
            <w:tcW w:w="1230" w:type="dxa"/>
            <w:tcBorders>
              <w:top w:val="single" w:sz="4" w:space="0" w:color="auto"/>
              <w:left w:val="single" w:sz="4" w:space="0" w:color="auto"/>
              <w:bottom w:val="single" w:sz="4" w:space="0" w:color="auto"/>
              <w:right w:val="single" w:sz="4" w:space="0" w:color="auto"/>
            </w:tcBorders>
            <w:vAlign w:val="center"/>
            <w:hideMark/>
          </w:tcPr>
          <w:p w14:paraId="3BF1DF84" w14:textId="77777777" w:rsidR="00BC6C4E" w:rsidRDefault="00BC6C4E" w:rsidP="00E63116">
            <w:pPr>
              <w:pStyle w:val="TableText"/>
              <w:rPr>
                <w:rFonts w:cs="Arial"/>
              </w:rPr>
            </w:pPr>
            <w:r>
              <w:rPr>
                <w:rFonts w:cs="Arial"/>
              </w:rPr>
              <w:t>URL</w:t>
            </w:r>
          </w:p>
        </w:tc>
        <w:tc>
          <w:tcPr>
            <w:tcW w:w="7786" w:type="dxa"/>
            <w:tcBorders>
              <w:top w:val="single" w:sz="4" w:space="0" w:color="auto"/>
              <w:left w:val="single" w:sz="4" w:space="0" w:color="auto"/>
              <w:bottom w:val="single" w:sz="4" w:space="0" w:color="auto"/>
              <w:right w:val="single" w:sz="4" w:space="0" w:color="auto"/>
            </w:tcBorders>
            <w:vAlign w:val="center"/>
            <w:hideMark/>
          </w:tcPr>
          <w:p w14:paraId="491896DB" w14:textId="77777777" w:rsidR="00BC6C4E" w:rsidRDefault="00BC6C4E" w:rsidP="00E63116">
            <w:pPr>
              <w:pStyle w:val="TableText"/>
              <w:rPr>
                <w:rFonts w:cs="Arial"/>
              </w:rPr>
            </w:pPr>
            <w:r>
              <w:rPr>
                <w:rFonts w:cs="Arial"/>
              </w:rPr>
              <w:t>Uniform Resource Locator</w:t>
            </w:r>
          </w:p>
        </w:tc>
      </w:tr>
      <w:bookmarkEnd w:id="28"/>
    </w:tbl>
    <w:p w14:paraId="04037D80" w14:textId="77777777" w:rsidR="006E28FA" w:rsidRPr="006E28FA" w:rsidRDefault="006E28FA" w:rsidP="006E28FA">
      <w:pPr>
        <w:pStyle w:val="NormalParagraph"/>
        <w:rPr>
          <w:lang w:eastAsia="en-US" w:bidi="bn-BD"/>
        </w:rPr>
      </w:pPr>
    </w:p>
    <w:p w14:paraId="3EA5FB22" w14:textId="38C30557" w:rsidR="005015E1" w:rsidRPr="004B2D20" w:rsidRDefault="005015E1" w:rsidP="005015E1">
      <w:pPr>
        <w:pStyle w:val="Heading2"/>
        <w:jc w:val="both"/>
      </w:pPr>
      <w:bookmarkStart w:id="29" w:name="_Toc119425889"/>
      <w:bookmarkStart w:id="30" w:name="_Toc121260637"/>
      <w:r w:rsidRPr="004B2D20">
        <w:t>Audience</w:t>
      </w:r>
      <w:bookmarkEnd w:id="29"/>
      <w:bookmarkEnd w:id="30"/>
      <w:r w:rsidRPr="004B2D20">
        <w:t xml:space="preserve">   </w:t>
      </w:r>
    </w:p>
    <w:p w14:paraId="00A02158" w14:textId="3E4C99F8" w:rsidR="005015E1" w:rsidRPr="004B2D20" w:rsidRDefault="005015E1" w:rsidP="005015E1">
      <w:pPr>
        <w:pStyle w:val="NormalParagraph"/>
        <w:rPr>
          <w:rFonts w:cs="Arial"/>
          <w:lang w:eastAsia="en-US" w:bidi="bn-BD"/>
        </w:rPr>
      </w:pPr>
      <w:r w:rsidRPr="004B2D20">
        <w:rPr>
          <w:rFonts w:cs="Arial"/>
          <w:lang w:eastAsia="en-US" w:bidi="bn-BD"/>
        </w:rPr>
        <w:t xml:space="preserve">The target audience for this document are </w:t>
      </w:r>
      <w:r>
        <w:rPr>
          <w:rFonts w:cs="Arial"/>
          <w:lang w:eastAsia="en-US" w:bidi="bn-BD"/>
        </w:rPr>
        <w:t xml:space="preserve">product managers and </w:t>
      </w:r>
      <w:r w:rsidRPr="004B2D20">
        <w:rPr>
          <w:rFonts w:cs="Arial"/>
          <w:lang w:eastAsia="en-US" w:bidi="bn-BD"/>
        </w:rPr>
        <w:t xml:space="preserve">service/technical departments </w:t>
      </w:r>
      <w:r w:rsidR="00BE7EA7">
        <w:rPr>
          <w:rFonts w:cs="Arial"/>
          <w:lang w:eastAsia="en-US" w:bidi="bn-BD"/>
        </w:rPr>
        <w:t xml:space="preserve">and </w:t>
      </w:r>
      <w:r>
        <w:rPr>
          <w:rFonts w:cs="Arial"/>
          <w:lang w:eastAsia="en-US" w:bidi="bn-BD"/>
        </w:rPr>
        <w:t xml:space="preserve">Operators </w:t>
      </w:r>
      <w:r w:rsidRPr="004B2D20">
        <w:rPr>
          <w:rFonts w:cs="Arial"/>
          <w:lang w:eastAsia="en-US" w:bidi="bn-BD"/>
        </w:rPr>
        <w:t xml:space="preserve">who are considering deploying the Mobile Connect Account Takeover Protection </w:t>
      </w:r>
      <w:r>
        <w:rPr>
          <w:rFonts w:cs="Arial"/>
          <w:lang w:eastAsia="en-US" w:bidi="bn-BD"/>
        </w:rPr>
        <w:t>service</w:t>
      </w:r>
      <w:r w:rsidRPr="004B2D20">
        <w:rPr>
          <w:rFonts w:cs="Arial"/>
          <w:lang w:eastAsia="en-US" w:bidi="bn-BD"/>
        </w:rPr>
        <w:t xml:space="preserve">.  </w:t>
      </w:r>
    </w:p>
    <w:p w14:paraId="1A2BE637" w14:textId="77777777" w:rsidR="005015E1" w:rsidRPr="004B2D20" w:rsidRDefault="005015E1" w:rsidP="005015E1">
      <w:pPr>
        <w:pStyle w:val="NormalParagraph"/>
        <w:rPr>
          <w:rFonts w:cs="Arial"/>
          <w:lang w:eastAsia="en-US" w:bidi="bn-BD"/>
        </w:rPr>
      </w:pPr>
      <w:r w:rsidRPr="004B2D20">
        <w:rPr>
          <w:rFonts w:cs="Arial"/>
          <w:lang w:eastAsia="en-US" w:bidi="bn-BD"/>
        </w:rPr>
        <w:t>Readers of this document are expected to have familiarity with and a good understanding of the Mobile Connect</w:t>
      </w:r>
      <w:r>
        <w:rPr>
          <w:rFonts w:cs="Arial"/>
          <w:lang w:eastAsia="en-US" w:bidi="bn-BD"/>
        </w:rPr>
        <w:t xml:space="preserve"> Technical architecture and Mobile Connect Core requirements [5] and Mobile Connect Resource server specification [8]. </w:t>
      </w:r>
    </w:p>
    <w:p w14:paraId="212B9D22" w14:textId="77777777" w:rsidR="005015E1" w:rsidRDefault="005015E1" w:rsidP="005015E1">
      <w:pPr>
        <w:pStyle w:val="Heading2"/>
      </w:pPr>
      <w:bookmarkStart w:id="31" w:name="_Toc119425890"/>
      <w:bookmarkStart w:id="32" w:name="_Toc121260638"/>
      <w:r>
        <w:t>Relationship to Other Mobile Connect Documentation</w:t>
      </w:r>
      <w:bookmarkEnd w:id="23"/>
      <w:bookmarkEnd w:id="24"/>
      <w:bookmarkEnd w:id="25"/>
      <w:bookmarkEnd w:id="31"/>
      <w:bookmarkEnd w:id="32"/>
    </w:p>
    <w:p w14:paraId="2137D577" w14:textId="77777777" w:rsidR="005015E1" w:rsidRDefault="005015E1" w:rsidP="00BB0606">
      <w:pPr>
        <w:pStyle w:val="NormalParagraph"/>
      </w:pPr>
      <w:bookmarkStart w:id="33" w:name="_Toc516761944"/>
      <w:bookmarkStart w:id="34" w:name="_Toc519249800"/>
      <w:r>
        <w:t xml:space="preserve">This document details the Mobile Connect ATP service and its usage. It includes the relevant technical parameters for the service, such as </w:t>
      </w:r>
      <w:r w:rsidRPr="0080294D">
        <w:rPr>
          <w:rFonts w:ascii="Courier New" w:hAnsi="Courier New"/>
        </w:rPr>
        <w:t>scope</w:t>
      </w:r>
      <w:r>
        <w:t xml:space="preserve"> value and any service specific error codes. It also includes technical requirements that relate to the ATP service. These service-specific elements build upon the Mobile Connect core framework. </w:t>
      </w:r>
      <w:r w:rsidRPr="00771B68">
        <w:t xml:space="preserve">The ATP service </w:t>
      </w:r>
      <w:r w:rsidRPr="00931A12">
        <w:t xml:space="preserve">is recommended to </w:t>
      </w:r>
      <w:r>
        <w:t xml:space="preserve">be </w:t>
      </w:r>
      <w:r w:rsidRPr="00931A12">
        <w:t>use</w:t>
      </w:r>
      <w:r>
        <w:t>d</w:t>
      </w:r>
      <w:r w:rsidRPr="00771B68">
        <w:t xml:space="preserve"> in </w:t>
      </w:r>
      <w:r>
        <w:t>S</w:t>
      </w:r>
      <w:r w:rsidRPr="00771B68">
        <w:t>erver-</w:t>
      </w:r>
      <w:r>
        <w:t>I</w:t>
      </w:r>
      <w:r w:rsidRPr="00771B68">
        <w:t xml:space="preserve">nitiated mode using Mobile Connect </w:t>
      </w:r>
      <w:r>
        <w:t>S</w:t>
      </w:r>
      <w:r w:rsidRPr="00771B68">
        <w:t>erver-</w:t>
      </w:r>
      <w:r>
        <w:t>I</w:t>
      </w:r>
      <w:r w:rsidRPr="00771B68">
        <w:t xml:space="preserve">nitiated </w:t>
      </w:r>
      <w:proofErr w:type="spellStart"/>
      <w:r w:rsidRPr="00771B68">
        <w:t>OIDC</w:t>
      </w:r>
      <w:proofErr w:type="spellEnd"/>
      <w:r w:rsidRPr="00771B68">
        <w:t xml:space="preserve"> profile [</w:t>
      </w:r>
      <w:r>
        <w:t>7</w:t>
      </w:r>
      <w:r w:rsidRPr="00771B68">
        <w:t>]</w:t>
      </w:r>
      <w:r>
        <w:t xml:space="preserve">. </w:t>
      </w:r>
    </w:p>
    <w:p w14:paraId="3A4DAF66" w14:textId="66B17FE8" w:rsidR="005015E1" w:rsidRDefault="005015E1" w:rsidP="005015E1">
      <w:pPr>
        <w:pStyle w:val="NormalParagraph"/>
      </w:pPr>
      <w:r>
        <w:t xml:space="preserve">The Mobile Connect Technical Architecture and Core Requirements document </w:t>
      </w:r>
      <w:r>
        <w:fldChar w:fldCharType="begin"/>
      </w:r>
      <w:r>
        <w:instrText xml:space="preserve"> REF _Ref527468793 \r \h  \* MERGEFORMAT </w:instrText>
      </w:r>
      <w:r>
        <w:fldChar w:fldCharType="separate"/>
      </w:r>
      <w:r w:rsidR="00847406">
        <w:t>[5]</w:t>
      </w:r>
      <w:r>
        <w:fldChar w:fldCharType="end"/>
      </w:r>
      <w:r>
        <w:t xml:space="preserve"> describes the Mobile Connect Architecture in more detail </w:t>
      </w:r>
      <w:proofErr w:type="gramStart"/>
      <w:r>
        <w:t>and also</w:t>
      </w:r>
      <w:proofErr w:type="gramEnd"/>
      <w:r>
        <w:t xml:space="preserve"> includes the core technical requirements and specification of elements for Mobile Connect that are generic to all Mobile Connect services and modes of operation. </w:t>
      </w:r>
    </w:p>
    <w:p w14:paraId="514EAD80" w14:textId="7D10AFFA" w:rsidR="005015E1" w:rsidRDefault="005015E1" w:rsidP="005015E1">
      <w:pPr>
        <w:pStyle w:val="NormalParagraph"/>
      </w:pPr>
      <w:r>
        <w:t xml:space="preserve">The Mobile Connect Resource Server Specification </w:t>
      </w:r>
      <w:r>
        <w:fldChar w:fldCharType="begin"/>
      </w:r>
      <w:r>
        <w:instrText xml:space="preserve"> REF _Ref528057683 \r \h </w:instrText>
      </w:r>
      <w:r>
        <w:fldChar w:fldCharType="separate"/>
      </w:r>
      <w:r w:rsidR="00847406">
        <w:t>[8]</w:t>
      </w:r>
      <w:r>
        <w:fldChar w:fldCharType="end"/>
      </w:r>
      <w:r>
        <w:t xml:space="preserve"> provides details on how to handle a resource request and the associated response for Mobile Connect attribute services including error codes. It also includes requirements that are common to all Mobile Connect attribute services, which apply to the Mobile Connect ATP service.</w:t>
      </w:r>
    </w:p>
    <w:p w14:paraId="5262F259" w14:textId="0F1151A7" w:rsidR="005015E1" w:rsidRDefault="005015E1" w:rsidP="005015E1">
      <w:pPr>
        <w:pStyle w:val="NormalParagraph"/>
      </w:pPr>
      <w:r>
        <w:t xml:space="preserve">The Mobile Connect Technical Overview </w:t>
      </w:r>
      <w:r>
        <w:fldChar w:fldCharType="begin"/>
      </w:r>
      <w:r>
        <w:instrText xml:space="preserve"> REF _Ref527468801 \r \h </w:instrText>
      </w:r>
      <w:r>
        <w:fldChar w:fldCharType="separate"/>
      </w:r>
      <w:r w:rsidR="00847406">
        <w:t>[4]</w:t>
      </w:r>
      <w:r>
        <w:fldChar w:fldCharType="end"/>
      </w:r>
      <w:r>
        <w:t xml:space="preserve"> provides a high-level description of Mobile Connect and how it works. It also includes a master list of abbreviations and terminology used within the Mobile Connect Documentation set and a map of that documentation set. It serves as a starting point for understanding how Mobile Connect works and references the relevant documents for the reader to obtain further detail.</w:t>
      </w:r>
    </w:p>
    <w:p w14:paraId="38F81AEC" w14:textId="22CF3D08" w:rsidR="005015E1" w:rsidRDefault="005015E1" w:rsidP="005015E1">
      <w:pPr>
        <w:pStyle w:val="NormalParagraph"/>
      </w:pPr>
      <w:r>
        <w:t>GSMA Regulatory requirements for personal data handling is detailed in 'GSMA Regulatory considerations for processing personal data and attributes for Mobil</w:t>
      </w:r>
      <w:r w:rsidR="00BE7EA7">
        <w:t>e Connect'. Mobile Connect</w:t>
      </w:r>
      <w:r>
        <w:t xml:space="preserve"> Privacy Principles</w:t>
      </w:r>
      <w:r w:rsidR="004635AA">
        <w:t>.</w:t>
      </w:r>
    </w:p>
    <w:p w14:paraId="212D9A5D" w14:textId="77777777" w:rsidR="005015E1" w:rsidRDefault="005015E1" w:rsidP="005015E1">
      <w:pPr>
        <w:pStyle w:val="Heading2"/>
        <w:numPr>
          <w:ilvl w:val="1"/>
          <w:numId w:val="7"/>
        </w:numPr>
      </w:pPr>
      <w:r w:rsidDel="008728B3">
        <w:lastRenderedPageBreak/>
        <w:t xml:space="preserve"> </w:t>
      </w:r>
      <w:bookmarkStart w:id="35" w:name="_Toc521683488"/>
      <w:bookmarkStart w:id="36" w:name="_Toc119425891"/>
      <w:bookmarkStart w:id="37" w:name="_Toc121260639"/>
      <w:r>
        <w:t>Conventions</w:t>
      </w:r>
      <w:bookmarkEnd w:id="33"/>
      <w:bookmarkEnd w:id="34"/>
      <w:bookmarkEnd w:id="35"/>
      <w:bookmarkEnd w:id="36"/>
      <w:bookmarkEnd w:id="37"/>
    </w:p>
    <w:p w14:paraId="6D87B853" w14:textId="1F7A9496" w:rsidR="005015E1" w:rsidRDefault="005015E1" w:rsidP="005015E1">
      <w:pPr>
        <w:pStyle w:val="NormalParagraph"/>
        <w:rPr>
          <w:rFonts w:cs="Arial"/>
          <w:noProof/>
        </w:rPr>
      </w:pPr>
      <w:r>
        <w:rPr>
          <w:rFonts w:cs="Arial"/>
          <w:noProof/>
        </w:rPr>
        <w:t xml:space="preserve">The key words "MUST", "MUST NOT", "REQUIRED", "SHALL", "SHALL NOT", "SHOULD", "SHOULD NOT", "RECOMMENDED", "NOT RECOMMENDED", "MAY", and "OPTIONAL" in this document are to be interpreted as described in RFC 2119 </w:t>
      </w:r>
      <w:r>
        <w:rPr>
          <w:rFonts w:cs="Arial"/>
          <w:noProof/>
        </w:rPr>
        <w:fldChar w:fldCharType="begin"/>
      </w:r>
      <w:r>
        <w:rPr>
          <w:rFonts w:cs="Arial"/>
          <w:noProof/>
        </w:rPr>
        <w:instrText xml:space="preserve"> REF _Ref528057703 \r \h </w:instrText>
      </w:r>
      <w:r>
        <w:rPr>
          <w:rFonts w:cs="Arial"/>
          <w:noProof/>
        </w:rPr>
      </w:r>
      <w:r>
        <w:rPr>
          <w:rFonts w:cs="Arial"/>
          <w:noProof/>
        </w:rPr>
        <w:fldChar w:fldCharType="separate"/>
      </w:r>
      <w:r w:rsidR="00847406">
        <w:rPr>
          <w:rFonts w:cs="Arial"/>
          <w:noProof/>
        </w:rPr>
        <w:t>[3]</w:t>
      </w:r>
      <w:r>
        <w:rPr>
          <w:rFonts w:cs="Arial"/>
          <w:noProof/>
        </w:rPr>
        <w:fldChar w:fldCharType="end"/>
      </w:r>
    </w:p>
    <w:p w14:paraId="0AB7407E" w14:textId="77777777" w:rsidR="005015E1" w:rsidRDefault="005015E1" w:rsidP="005015E1">
      <w:pPr>
        <w:pStyle w:val="Heading2"/>
        <w:numPr>
          <w:ilvl w:val="1"/>
          <w:numId w:val="7"/>
        </w:numPr>
      </w:pPr>
      <w:bookmarkStart w:id="38" w:name="_Toc516761945"/>
      <w:bookmarkStart w:id="39" w:name="_Toc519249801"/>
      <w:bookmarkStart w:id="40" w:name="_Toc521683489"/>
      <w:bookmarkStart w:id="41" w:name="_Toc119425892"/>
      <w:bookmarkStart w:id="42" w:name="_Toc121260640"/>
      <w:r>
        <w:t>Terminology</w:t>
      </w:r>
      <w:bookmarkEnd w:id="38"/>
      <w:r>
        <w:t xml:space="preserve"> &amp; Definitions</w:t>
      </w:r>
      <w:bookmarkEnd w:id="39"/>
      <w:bookmarkEnd w:id="40"/>
      <w:bookmarkEnd w:id="41"/>
      <w:bookmarkEnd w:id="42"/>
    </w:p>
    <w:p w14:paraId="3331CA76" w14:textId="569335F1" w:rsidR="005015E1" w:rsidRPr="00FA0E59" w:rsidRDefault="005015E1" w:rsidP="005015E1">
      <w:pPr>
        <w:pStyle w:val="NormalParagraph"/>
      </w:pPr>
      <w:r>
        <w:t>Mobile Connect specifications and related documents make</w:t>
      </w:r>
      <w:r w:rsidRPr="00FA0E59">
        <w:t xml:space="preserve"> use of terms that are defined by the OpenID Connect Core</w:t>
      </w:r>
      <w:r>
        <w:t xml:space="preserve"> Specification</w:t>
      </w:r>
      <w:r w:rsidRPr="00FA0E59">
        <w:t xml:space="preserve"> </w:t>
      </w:r>
      <w:r>
        <w:fldChar w:fldCharType="begin"/>
      </w:r>
      <w:r>
        <w:instrText xml:space="preserve"> REF _Ref528057746 \r \h </w:instrText>
      </w:r>
      <w:r>
        <w:fldChar w:fldCharType="separate"/>
      </w:r>
      <w:r w:rsidR="00847406">
        <w:t>[1]</w:t>
      </w:r>
      <w:r>
        <w:fldChar w:fldCharType="end"/>
      </w:r>
      <w:r w:rsidRPr="00FA0E59">
        <w:t xml:space="preserve"> and supporting specifications and </w:t>
      </w:r>
      <w:r>
        <w:t xml:space="preserve">extended in </w:t>
      </w:r>
      <w:r w:rsidRPr="00FA0E59">
        <w:t>the</w:t>
      </w:r>
      <w:r>
        <w:t xml:space="preserve"> </w:t>
      </w:r>
      <w:proofErr w:type="spellStart"/>
      <w:r>
        <w:t>OIDF</w:t>
      </w:r>
      <w:proofErr w:type="spellEnd"/>
      <w:r>
        <w:t xml:space="preserve"> CIBA (Client Initiated Backchannel Authentication) specification [2]. </w:t>
      </w:r>
    </w:p>
    <w:p w14:paraId="1830DC8C" w14:textId="71F4D521" w:rsidR="005015E1" w:rsidRDefault="005015E1" w:rsidP="005015E1">
      <w:pPr>
        <w:pStyle w:val="NormalParagraph"/>
        <w:rPr>
          <w:lang w:eastAsia="de-DE"/>
        </w:rPr>
      </w:pPr>
      <w:r>
        <w:rPr>
          <w:rFonts w:cs="Arial"/>
        </w:rPr>
        <w:t xml:space="preserve">The Mobile Connect Technical Overview document </w:t>
      </w:r>
      <w:r>
        <w:rPr>
          <w:rFonts w:cs="Arial"/>
        </w:rPr>
        <w:fldChar w:fldCharType="begin"/>
      </w:r>
      <w:r>
        <w:rPr>
          <w:rFonts w:cs="Arial"/>
        </w:rPr>
        <w:instrText xml:space="preserve"> REF _Ref527468801 \r \h </w:instrText>
      </w:r>
      <w:r>
        <w:rPr>
          <w:rFonts w:cs="Arial"/>
        </w:rPr>
      </w:r>
      <w:r>
        <w:rPr>
          <w:rFonts w:cs="Arial"/>
        </w:rPr>
        <w:fldChar w:fldCharType="separate"/>
      </w:r>
      <w:r w:rsidR="00847406">
        <w:rPr>
          <w:rFonts w:cs="Arial"/>
        </w:rPr>
        <w:t>[4]</w:t>
      </w:r>
      <w:r>
        <w:rPr>
          <w:rFonts w:cs="Arial"/>
        </w:rPr>
        <w:fldChar w:fldCharType="end"/>
      </w:r>
      <w:r>
        <w:rPr>
          <w:lang w:eastAsia="de-DE"/>
        </w:rPr>
        <w:t xml:space="preserve"> defines relevant terms that are used within the Mobile Connect Specifications and interprets terminology from source standards in Mobile Connect terms. It also includes a list of abbreviations. </w:t>
      </w:r>
    </w:p>
    <w:p w14:paraId="2589ABDF" w14:textId="77777777" w:rsidR="005015E1" w:rsidRDefault="005015E1" w:rsidP="005015E1">
      <w:pPr>
        <w:pStyle w:val="NormalParagraph"/>
      </w:pPr>
      <w:r w:rsidRPr="00CB78B8">
        <w:t xml:space="preserve">Due to potential confusion with </w:t>
      </w:r>
      <w:proofErr w:type="spellStart"/>
      <w:r>
        <w:t>OIDC</w:t>
      </w:r>
      <w:proofErr w:type="spellEnd"/>
      <w:r>
        <w:t xml:space="preserve"> and OAuth 2.0 terminology, </w:t>
      </w:r>
      <w:r w:rsidRPr="00CB78B8">
        <w:t xml:space="preserve">the </w:t>
      </w:r>
      <w:r>
        <w:t>initial</w:t>
      </w:r>
      <w:r w:rsidRPr="00CB78B8">
        <w:t xml:space="preserve"> </w:t>
      </w:r>
      <w:r>
        <w:t>Mobile Connect service r</w:t>
      </w:r>
      <w:r w:rsidRPr="00CB78B8">
        <w:t xml:space="preserve">equest which underpins Mobile Connect Authentication, Authorisation and User </w:t>
      </w:r>
      <w:r>
        <w:t>c</w:t>
      </w:r>
      <w:r w:rsidRPr="00CB78B8">
        <w:t xml:space="preserve">onsent associated with </w:t>
      </w:r>
      <w:r>
        <w:t>a</w:t>
      </w:r>
      <w:r w:rsidRPr="00CB78B8">
        <w:t xml:space="preserve">ttribute </w:t>
      </w:r>
      <w:r>
        <w:t>s</w:t>
      </w:r>
      <w:r w:rsidRPr="00CB78B8">
        <w:t xml:space="preserve">ervices, is referred to as an </w:t>
      </w:r>
      <w:proofErr w:type="spellStart"/>
      <w:r w:rsidRPr="00CB78B8">
        <w:t>OIDC</w:t>
      </w:r>
      <w:proofErr w:type="spellEnd"/>
      <w:r w:rsidRPr="00CB78B8">
        <w:t xml:space="preserve"> Authorization Request</w:t>
      </w:r>
      <w:r>
        <w:rPr>
          <w:rStyle w:val="FootnoteReference"/>
          <w:lang w:eastAsia="de-DE"/>
        </w:rPr>
        <w:footnoteReference w:id="2"/>
      </w:r>
      <w:r w:rsidRPr="00CB78B8">
        <w:t xml:space="preserve"> (spelled with a ‘z’) throughout this document.</w:t>
      </w:r>
    </w:p>
    <w:p w14:paraId="2D9348A7" w14:textId="77777777" w:rsidR="005015E1" w:rsidRDefault="005015E1" w:rsidP="005015E1">
      <w:pPr>
        <w:pStyle w:val="Heading2"/>
        <w:numPr>
          <w:ilvl w:val="1"/>
          <w:numId w:val="7"/>
        </w:numPr>
      </w:pPr>
      <w:bookmarkStart w:id="43" w:name="_Toc426372631"/>
      <w:bookmarkStart w:id="44" w:name="_Toc426373445"/>
      <w:bookmarkStart w:id="45" w:name="_References"/>
      <w:bookmarkStart w:id="46" w:name="_Toc327447332"/>
      <w:bookmarkStart w:id="47" w:name="_Toc327547999"/>
      <w:bookmarkStart w:id="48" w:name="_Toc327548199"/>
      <w:bookmarkStart w:id="49" w:name="_Toc443047782"/>
      <w:bookmarkStart w:id="50" w:name="_Toc519249803"/>
      <w:bookmarkStart w:id="51" w:name="_Toc521683491"/>
      <w:bookmarkStart w:id="52" w:name="_Toc119425893"/>
      <w:bookmarkStart w:id="53" w:name="_Toc121260641"/>
      <w:bookmarkEnd w:id="26"/>
      <w:bookmarkEnd w:id="43"/>
      <w:bookmarkEnd w:id="44"/>
      <w:bookmarkEnd w:id="45"/>
      <w:r>
        <w:t>References</w:t>
      </w:r>
      <w:bookmarkEnd w:id="46"/>
      <w:bookmarkEnd w:id="47"/>
      <w:bookmarkEnd w:id="48"/>
      <w:bookmarkEnd w:id="49"/>
      <w:bookmarkEnd w:id="50"/>
      <w:bookmarkEnd w:id="51"/>
      <w:bookmarkEnd w:id="52"/>
      <w:bookmarkEnd w:id="53"/>
    </w:p>
    <w:tbl>
      <w:tblPr>
        <w:tblStyle w:val="Table2Style"/>
        <w:tblW w:w="8908" w:type="dxa"/>
        <w:tblLook w:val="01E0" w:firstRow="1" w:lastRow="1" w:firstColumn="1" w:lastColumn="1" w:noHBand="0" w:noVBand="0"/>
      </w:tblPr>
      <w:tblGrid>
        <w:gridCol w:w="936"/>
        <w:gridCol w:w="1870"/>
        <w:gridCol w:w="6102"/>
      </w:tblGrid>
      <w:tr w:rsidR="005015E1" w14:paraId="150426BB" w14:textId="77777777" w:rsidTr="00BE7EA7">
        <w:trPr>
          <w:cnfStyle w:val="100000000000" w:firstRow="1" w:lastRow="0" w:firstColumn="0" w:lastColumn="0" w:oddVBand="0" w:evenVBand="0" w:oddHBand="0" w:evenHBand="0" w:firstRowFirstColumn="0" w:firstRowLastColumn="0" w:lastRowFirstColumn="0" w:lastRowLastColumn="0"/>
        </w:trPr>
        <w:tc>
          <w:tcPr>
            <w:tcW w:w="936" w:type="dxa"/>
            <w:hideMark/>
          </w:tcPr>
          <w:p w14:paraId="065702D1" w14:textId="77777777" w:rsidR="005015E1" w:rsidRDefault="005015E1" w:rsidP="00BE7EA7">
            <w:pPr>
              <w:pStyle w:val="TableHeader"/>
            </w:pPr>
            <w:r>
              <w:t>Ref</w:t>
            </w:r>
          </w:p>
        </w:tc>
        <w:tc>
          <w:tcPr>
            <w:tcW w:w="1870" w:type="dxa"/>
            <w:hideMark/>
          </w:tcPr>
          <w:p w14:paraId="5313BEBA" w14:textId="77777777" w:rsidR="005015E1" w:rsidRDefault="005015E1" w:rsidP="00BE7EA7">
            <w:pPr>
              <w:pStyle w:val="TableHeader"/>
            </w:pPr>
            <w:r>
              <w:t>Doc Number</w:t>
            </w:r>
          </w:p>
        </w:tc>
        <w:tc>
          <w:tcPr>
            <w:tcW w:w="6102" w:type="dxa"/>
            <w:hideMark/>
          </w:tcPr>
          <w:p w14:paraId="3788C541" w14:textId="77777777" w:rsidR="005015E1" w:rsidRDefault="005015E1" w:rsidP="00BE7EA7">
            <w:pPr>
              <w:pStyle w:val="TableHeader"/>
            </w:pPr>
            <w:r>
              <w:t>Title</w:t>
            </w:r>
          </w:p>
        </w:tc>
      </w:tr>
      <w:tr w:rsidR="005015E1" w14:paraId="5195757E" w14:textId="77777777" w:rsidTr="00BE7EA7">
        <w:tc>
          <w:tcPr>
            <w:tcW w:w="936" w:type="dxa"/>
            <w:hideMark/>
          </w:tcPr>
          <w:p w14:paraId="5B4E9EC9" w14:textId="77777777" w:rsidR="005015E1" w:rsidRPr="00F5225D" w:rsidRDefault="005015E1" w:rsidP="00BE7EA7">
            <w:pPr>
              <w:pStyle w:val="TableReferencenumber"/>
            </w:pPr>
            <w:bookmarkStart w:id="54" w:name="_Ref528057746"/>
          </w:p>
        </w:tc>
        <w:bookmarkEnd w:id="54"/>
        <w:tc>
          <w:tcPr>
            <w:tcW w:w="1870" w:type="dxa"/>
            <w:hideMark/>
          </w:tcPr>
          <w:p w14:paraId="722E7077" w14:textId="77777777" w:rsidR="005015E1" w:rsidRPr="00F5225D" w:rsidRDefault="005015E1" w:rsidP="00BE7EA7">
            <w:pPr>
              <w:pStyle w:val="TableText"/>
            </w:pPr>
            <w:r w:rsidRPr="00F5225D">
              <w:t>OpenID Connect Core Specification</w:t>
            </w:r>
          </w:p>
        </w:tc>
        <w:tc>
          <w:tcPr>
            <w:tcW w:w="6102" w:type="dxa"/>
            <w:hideMark/>
          </w:tcPr>
          <w:p w14:paraId="7A9D7133" w14:textId="77777777" w:rsidR="005015E1" w:rsidRPr="00F5225D" w:rsidRDefault="005015E1" w:rsidP="00BE7EA7">
            <w:pPr>
              <w:pStyle w:val="TableText"/>
            </w:pPr>
            <w:r w:rsidRPr="00F5225D">
              <w:t xml:space="preserve">“An interoperable authentication protocol based on the OAuth 2.0 family of specifications” available at </w:t>
            </w:r>
          </w:p>
          <w:p w14:paraId="050CA7FE" w14:textId="77777777" w:rsidR="005015E1" w:rsidRPr="00F5225D" w:rsidRDefault="00000000" w:rsidP="00BE7EA7">
            <w:pPr>
              <w:pStyle w:val="TableText"/>
            </w:pPr>
            <w:hyperlink r:id="rId13" w:history="1">
              <w:r w:rsidR="005015E1" w:rsidRPr="00F5225D">
                <w:rPr>
                  <w:rStyle w:val="Hyperlink"/>
                </w:rPr>
                <w:t>https://openid.net/specs/openid-connect-core-1_0.html</w:t>
              </w:r>
            </w:hyperlink>
          </w:p>
        </w:tc>
      </w:tr>
      <w:tr w:rsidR="005015E1" w14:paraId="5FBEB719" w14:textId="77777777" w:rsidTr="00BE7EA7">
        <w:tc>
          <w:tcPr>
            <w:tcW w:w="936" w:type="dxa"/>
            <w:hideMark/>
          </w:tcPr>
          <w:p w14:paraId="6DC941C8" w14:textId="77777777" w:rsidR="005015E1" w:rsidRPr="00F5225D" w:rsidRDefault="005015E1" w:rsidP="00BE7EA7">
            <w:pPr>
              <w:pStyle w:val="TableReferencenumber"/>
            </w:pPr>
            <w:bookmarkStart w:id="55" w:name="_Ref528057790"/>
          </w:p>
        </w:tc>
        <w:bookmarkEnd w:id="55"/>
        <w:tc>
          <w:tcPr>
            <w:tcW w:w="1870" w:type="dxa"/>
            <w:hideMark/>
          </w:tcPr>
          <w:p w14:paraId="5CED7BC8" w14:textId="77777777" w:rsidR="005015E1" w:rsidRPr="00F5225D" w:rsidRDefault="005015E1" w:rsidP="00BE7EA7">
            <w:pPr>
              <w:pStyle w:val="TableText"/>
              <w:rPr>
                <w:lang w:eastAsia="en-GB"/>
              </w:rPr>
            </w:pPr>
            <w:proofErr w:type="spellStart"/>
            <w:r w:rsidRPr="00F5225D">
              <w:rPr>
                <w:lang w:eastAsia="en-GB"/>
              </w:rPr>
              <w:t>OIDF</w:t>
            </w:r>
            <w:proofErr w:type="spellEnd"/>
            <w:r w:rsidRPr="00F5225D">
              <w:rPr>
                <w:lang w:eastAsia="en-GB"/>
              </w:rPr>
              <w:t xml:space="preserve"> CIBA</w:t>
            </w:r>
          </w:p>
        </w:tc>
        <w:tc>
          <w:tcPr>
            <w:tcW w:w="6102" w:type="dxa"/>
            <w:hideMark/>
          </w:tcPr>
          <w:p w14:paraId="1DB297AD" w14:textId="77777777" w:rsidR="005015E1" w:rsidRPr="004D5FAD" w:rsidRDefault="005015E1" w:rsidP="00BE7EA7">
            <w:pPr>
              <w:pStyle w:val="TableText"/>
            </w:pPr>
            <w:r>
              <w:t>OpenID Connect MODRNA Client I</w:t>
            </w:r>
            <w:r w:rsidRPr="004D5FAD">
              <w:t>nitiated Backchannel Authentication Flow 1.0</w:t>
            </w:r>
          </w:p>
          <w:p w14:paraId="67719087" w14:textId="77777777" w:rsidR="005015E1" w:rsidRPr="00F5225D" w:rsidRDefault="00000000" w:rsidP="00BE7EA7">
            <w:pPr>
              <w:pStyle w:val="TableText"/>
              <w:rPr>
                <w:color w:val="FFFFFF"/>
                <w:sz w:val="22"/>
                <w:lang w:eastAsia="en-GB"/>
              </w:rPr>
            </w:pPr>
            <w:hyperlink r:id="rId14" w:history="1">
              <w:r w:rsidR="005015E1" w:rsidRPr="00F5225D">
                <w:rPr>
                  <w:rStyle w:val="Hyperlink"/>
                </w:rPr>
                <w:t>https://openid.net/specs/openid-connect-modrna-client-initiated-backchannel-authentication-1_0.html</w:t>
              </w:r>
            </w:hyperlink>
          </w:p>
          <w:p w14:paraId="0AC26C3B" w14:textId="77777777" w:rsidR="005015E1" w:rsidRPr="00F5225D" w:rsidRDefault="005015E1" w:rsidP="00BE7EA7">
            <w:pPr>
              <w:pStyle w:val="TableText"/>
              <w:rPr>
                <w:color w:val="FFFFFF"/>
                <w:lang w:eastAsia="en-GB"/>
              </w:rPr>
            </w:pPr>
          </w:p>
        </w:tc>
      </w:tr>
      <w:tr w:rsidR="005015E1" w14:paraId="402AEF23" w14:textId="77777777" w:rsidTr="00BE7EA7">
        <w:tc>
          <w:tcPr>
            <w:tcW w:w="936" w:type="dxa"/>
            <w:hideMark/>
          </w:tcPr>
          <w:p w14:paraId="3283259B" w14:textId="77777777" w:rsidR="005015E1" w:rsidRPr="00F5225D" w:rsidRDefault="005015E1" w:rsidP="00BE7EA7">
            <w:pPr>
              <w:pStyle w:val="TableReferencenumber"/>
            </w:pPr>
            <w:bookmarkStart w:id="56" w:name="_Ref528057703"/>
          </w:p>
        </w:tc>
        <w:bookmarkEnd w:id="56"/>
        <w:tc>
          <w:tcPr>
            <w:tcW w:w="1870" w:type="dxa"/>
            <w:hideMark/>
          </w:tcPr>
          <w:p w14:paraId="6C4677E2" w14:textId="77777777" w:rsidR="005015E1" w:rsidRPr="00F5225D" w:rsidRDefault="005015E1" w:rsidP="00BE7EA7">
            <w:pPr>
              <w:pStyle w:val="TableText"/>
            </w:pPr>
            <w:r w:rsidRPr="00F5225D">
              <w:t>RFC 2119</w:t>
            </w:r>
          </w:p>
        </w:tc>
        <w:tc>
          <w:tcPr>
            <w:tcW w:w="6102" w:type="dxa"/>
            <w:hideMark/>
          </w:tcPr>
          <w:p w14:paraId="66720B5D" w14:textId="77777777" w:rsidR="005015E1" w:rsidRPr="00F5225D" w:rsidRDefault="005015E1" w:rsidP="00BE7EA7">
            <w:pPr>
              <w:pStyle w:val="TableText"/>
            </w:pPr>
            <w:r w:rsidRPr="00F5225D">
              <w:t xml:space="preserve">“Keywords for use in RFCs to Indicate Requirement Levels”, S. </w:t>
            </w:r>
            <w:proofErr w:type="spellStart"/>
            <w:r w:rsidRPr="00F5225D">
              <w:t>Bradner</w:t>
            </w:r>
            <w:proofErr w:type="spellEnd"/>
            <w:r w:rsidRPr="00F5225D">
              <w:t xml:space="preserve">, March 1997. Available at </w:t>
            </w:r>
            <w:hyperlink r:id="rId15" w:history="1">
              <w:r w:rsidRPr="00F5225D">
                <w:rPr>
                  <w:rStyle w:val="Hyperlink"/>
                </w:rPr>
                <w:t>https://tools.ietf.org/html/rfc2119</w:t>
              </w:r>
            </w:hyperlink>
          </w:p>
        </w:tc>
      </w:tr>
      <w:tr w:rsidR="005015E1" w:rsidRPr="00A11D3A" w14:paraId="6CEAE4FC" w14:textId="77777777" w:rsidTr="00BE7EA7">
        <w:tc>
          <w:tcPr>
            <w:tcW w:w="936" w:type="dxa"/>
            <w:hideMark/>
          </w:tcPr>
          <w:p w14:paraId="4A24F153" w14:textId="77777777" w:rsidR="005015E1" w:rsidRPr="00F5225D" w:rsidRDefault="005015E1" w:rsidP="00BE7EA7">
            <w:pPr>
              <w:pStyle w:val="TableReferencenumber"/>
            </w:pPr>
            <w:bookmarkStart w:id="57" w:name="_Ref527468801"/>
          </w:p>
        </w:tc>
        <w:bookmarkEnd w:id="57"/>
        <w:tc>
          <w:tcPr>
            <w:tcW w:w="1870" w:type="dxa"/>
            <w:hideMark/>
          </w:tcPr>
          <w:p w14:paraId="064ACE4E" w14:textId="77777777" w:rsidR="005015E1" w:rsidRPr="00F5225D" w:rsidRDefault="005015E1" w:rsidP="00BE7EA7">
            <w:pPr>
              <w:pStyle w:val="TableText"/>
            </w:pPr>
            <w:r w:rsidRPr="00F5225D">
              <w:t>IDY.</w:t>
            </w:r>
            <w:r>
              <w:t>05</w:t>
            </w:r>
          </w:p>
        </w:tc>
        <w:tc>
          <w:tcPr>
            <w:tcW w:w="6102" w:type="dxa"/>
            <w:hideMark/>
          </w:tcPr>
          <w:p w14:paraId="7ED92EF2" w14:textId="77777777" w:rsidR="005015E1" w:rsidRPr="00F5225D" w:rsidRDefault="005015E1" w:rsidP="00BE7EA7">
            <w:pPr>
              <w:pStyle w:val="TableText"/>
            </w:pPr>
            <w:r w:rsidRPr="00F5225D">
              <w:t>Mobile Connect Technical Overview</w:t>
            </w:r>
          </w:p>
        </w:tc>
      </w:tr>
      <w:tr w:rsidR="005015E1" w:rsidRPr="00F23512" w14:paraId="5DF20F3A" w14:textId="77777777" w:rsidTr="00BE7EA7">
        <w:tc>
          <w:tcPr>
            <w:tcW w:w="936" w:type="dxa"/>
            <w:hideMark/>
          </w:tcPr>
          <w:p w14:paraId="0A5F871E" w14:textId="77777777" w:rsidR="005015E1" w:rsidRPr="00F5225D" w:rsidRDefault="005015E1" w:rsidP="00BE7EA7">
            <w:pPr>
              <w:pStyle w:val="TableReferencenumber"/>
            </w:pPr>
            <w:bookmarkStart w:id="58" w:name="_Ref527468793"/>
          </w:p>
        </w:tc>
        <w:bookmarkEnd w:id="58"/>
        <w:tc>
          <w:tcPr>
            <w:tcW w:w="1870" w:type="dxa"/>
            <w:hideMark/>
          </w:tcPr>
          <w:p w14:paraId="0DCF4F36" w14:textId="77777777" w:rsidR="005015E1" w:rsidRPr="00F5225D" w:rsidRDefault="005015E1" w:rsidP="00BE7EA7">
            <w:pPr>
              <w:pStyle w:val="TableText"/>
            </w:pPr>
            <w:r w:rsidRPr="00F5225D">
              <w:t>IDY.</w:t>
            </w:r>
            <w:r>
              <w:t>04</w:t>
            </w:r>
          </w:p>
        </w:tc>
        <w:tc>
          <w:tcPr>
            <w:tcW w:w="6102" w:type="dxa"/>
            <w:hideMark/>
          </w:tcPr>
          <w:p w14:paraId="651E7EC4" w14:textId="77777777" w:rsidR="005015E1" w:rsidRPr="00F5225D" w:rsidRDefault="005015E1" w:rsidP="00BE7EA7">
            <w:pPr>
              <w:pStyle w:val="TableText"/>
            </w:pPr>
            <w:r w:rsidRPr="00F23512">
              <w:t>Mobile Connect Technical Architecture</w:t>
            </w:r>
            <w:r>
              <w:t xml:space="preserve"> and Core Requirements</w:t>
            </w:r>
          </w:p>
        </w:tc>
      </w:tr>
      <w:tr w:rsidR="005015E1" w:rsidRPr="00A11D3A" w14:paraId="3718AB62" w14:textId="77777777" w:rsidTr="00BE7EA7">
        <w:tc>
          <w:tcPr>
            <w:tcW w:w="936" w:type="dxa"/>
            <w:hideMark/>
          </w:tcPr>
          <w:p w14:paraId="2A3EFEBC" w14:textId="77777777" w:rsidR="005015E1" w:rsidRPr="00F5225D" w:rsidRDefault="005015E1" w:rsidP="00BE7EA7">
            <w:pPr>
              <w:pStyle w:val="TableReferencenumber"/>
            </w:pPr>
            <w:bookmarkStart w:id="59" w:name="_Ref528057645"/>
          </w:p>
        </w:tc>
        <w:bookmarkEnd w:id="59"/>
        <w:tc>
          <w:tcPr>
            <w:tcW w:w="1870" w:type="dxa"/>
            <w:hideMark/>
          </w:tcPr>
          <w:p w14:paraId="4DBF43E5" w14:textId="77777777" w:rsidR="005015E1" w:rsidRPr="00F5225D" w:rsidRDefault="005015E1" w:rsidP="00BE7EA7">
            <w:pPr>
              <w:pStyle w:val="TableText"/>
            </w:pPr>
            <w:r w:rsidRPr="00F5225D">
              <w:t>IDY.01</w:t>
            </w:r>
          </w:p>
        </w:tc>
        <w:tc>
          <w:tcPr>
            <w:tcW w:w="6102" w:type="dxa"/>
            <w:hideMark/>
          </w:tcPr>
          <w:p w14:paraId="3D9C7A9D" w14:textId="77777777" w:rsidR="005015E1" w:rsidRPr="00F5225D" w:rsidRDefault="005015E1" w:rsidP="00BE7EA7">
            <w:pPr>
              <w:pStyle w:val="TableText"/>
            </w:pPr>
            <w:r w:rsidRPr="00F5225D">
              <w:t xml:space="preserve">Mobile Connect Device-Initiated </w:t>
            </w:r>
            <w:proofErr w:type="spellStart"/>
            <w:r w:rsidRPr="00F5225D">
              <w:t>OIDC</w:t>
            </w:r>
            <w:proofErr w:type="spellEnd"/>
            <w:r w:rsidRPr="00F5225D">
              <w:t xml:space="preserve"> Profile </w:t>
            </w:r>
          </w:p>
        </w:tc>
      </w:tr>
      <w:tr w:rsidR="005015E1" w:rsidRPr="00F23512" w14:paraId="40A256AC" w14:textId="77777777" w:rsidTr="00BE7EA7">
        <w:tc>
          <w:tcPr>
            <w:tcW w:w="936" w:type="dxa"/>
            <w:hideMark/>
          </w:tcPr>
          <w:p w14:paraId="487399FB" w14:textId="77777777" w:rsidR="005015E1" w:rsidRPr="00F5225D" w:rsidRDefault="005015E1" w:rsidP="00BE7EA7">
            <w:pPr>
              <w:pStyle w:val="TableReferencenumber"/>
            </w:pPr>
            <w:bookmarkStart w:id="60" w:name="_Ref528056728"/>
          </w:p>
        </w:tc>
        <w:bookmarkEnd w:id="60"/>
        <w:tc>
          <w:tcPr>
            <w:tcW w:w="1870" w:type="dxa"/>
            <w:hideMark/>
          </w:tcPr>
          <w:p w14:paraId="15E701AF" w14:textId="77777777" w:rsidR="005015E1" w:rsidRPr="00F5225D" w:rsidRDefault="005015E1" w:rsidP="00BE7EA7">
            <w:pPr>
              <w:pStyle w:val="TableText"/>
            </w:pPr>
            <w:r w:rsidRPr="00F5225D">
              <w:t>IDY.02</w:t>
            </w:r>
          </w:p>
        </w:tc>
        <w:tc>
          <w:tcPr>
            <w:tcW w:w="6102" w:type="dxa"/>
            <w:hideMark/>
          </w:tcPr>
          <w:p w14:paraId="5A3865B2" w14:textId="77777777" w:rsidR="005015E1" w:rsidRPr="00F5225D" w:rsidRDefault="005015E1" w:rsidP="00BE7EA7">
            <w:pPr>
              <w:pStyle w:val="TableText"/>
            </w:pPr>
            <w:r w:rsidRPr="00F5225D">
              <w:t xml:space="preserve">Mobile Connect Server-Initiated </w:t>
            </w:r>
            <w:proofErr w:type="spellStart"/>
            <w:r w:rsidRPr="00F5225D">
              <w:t>OIDC</w:t>
            </w:r>
            <w:proofErr w:type="spellEnd"/>
            <w:r w:rsidRPr="00F5225D">
              <w:t xml:space="preserve"> Profile</w:t>
            </w:r>
          </w:p>
        </w:tc>
      </w:tr>
      <w:tr w:rsidR="005015E1" w:rsidRPr="00F23512" w14:paraId="37167F84" w14:textId="77777777" w:rsidTr="00BE7EA7">
        <w:tc>
          <w:tcPr>
            <w:tcW w:w="936" w:type="dxa"/>
            <w:hideMark/>
          </w:tcPr>
          <w:p w14:paraId="2EE3EBBD" w14:textId="77777777" w:rsidR="005015E1" w:rsidRPr="00F5225D" w:rsidRDefault="005015E1" w:rsidP="00BE7EA7">
            <w:pPr>
              <w:pStyle w:val="TableReferencenumber"/>
            </w:pPr>
            <w:bookmarkStart w:id="61" w:name="_Ref528057683"/>
          </w:p>
        </w:tc>
        <w:bookmarkEnd w:id="61"/>
        <w:tc>
          <w:tcPr>
            <w:tcW w:w="1870" w:type="dxa"/>
            <w:hideMark/>
          </w:tcPr>
          <w:p w14:paraId="78D770AC" w14:textId="77777777" w:rsidR="005015E1" w:rsidRPr="00F5225D" w:rsidRDefault="005015E1" w:rsidP="00BE7EA7">
            <w:pPr>
              <w:pStyle w:val="TableText"/>
            </w:pPr>
            <w:r w:rsidRPr="00F5225D">
              <w:t>IDY.</w:t>
            </w:r>
            <w:r>
              <w:t>03</w:t>
            </w:r>
          </w:p>
        </w:tc>
        <w:tc>
          <w:tcPr>
            <w:tcW w:w="6102" w:type="dxa"/>
            <w:hideMark/>
          </w:tcPr>
          <w:p w14:paraId="7C0A6D78" w14:textId="77777777" w:rsidR="005015E1" w:rsidRPr="00F5225D" w:rsidRDefault="005015E1" w:rsidP="00BE7EA7">
            <w:pPr>
              <w:pStyle w:val="TableText"/>
            </w:pPr>
            <w:r w:rsidRPr="00F5225D">
              <w:t xml:space="preserve">Mobile Connect Resource Server Specification </w:t>
            </w:r>
          </w:p>
        </w:tc>
      </w:tr>
      <w:tr w:rsidR="005015E1" w:rsidRPr="00F23512" w14:paraId="78050077" w14:textId="77777777" w:rsidTr="00BE7EA7">
        <w:tc>
          <w:tcPr>
            <w:tcW w:w="936" w:type="dxa"/>
            <w:hideMark/>
          </w:tcPr>
          <w:p w14:paraId="7526CC95" w14:textId="77777777" w:rsidR="005015E1" w:rsidRPr="00F5225D" w:rsidRDefault="005015E1" w:rsidP="00BE7EA7">
            <w:pPr>
              <w:pStyle w:val="TableReferencenumber"/>
            </w:pPr>
            <w:bookmarkStart w:id="62" w:name="_Ref528130937"/>
          </w:p>
        </w:tc>
        <w:bookmarkEnd w:id="62"/>
        <w:tc>
          <w:tcPr>
            <w:tcW w:w="1870" w:type="dxa"/>
            <w:hideMark/>
          </w:tcPr>
          <w:p w14:paraId="6C8363F7" w14:textId="77777777" w:rsidR="005015E1" w:rsidRPr="00F5225D" w:rsidRDefault="005015E1" w:rsidP="00BE7EA7">
            <w:pPr>
              <w:pStyle w:val="TableText"/>
            </w:pPr>
            <w:r w:rsidRPr="00F5225D">
              <w:t>IDY.1</w:t>
            </w:r>
            <w:r>
              <w:t>6</w:t>
            </w:r>
          </w:p>
        </w:tc>
        <w:tc>
          <w:tcPr>
            <w:tcW w:w="6102" w:type="dxa"/>
            <w:hideMark/>
          </w:tcPr>
          <w:p w14:paraId="079EF40B" w14:textId="77777777" w:rsidR="005015E1" w:rsidRPr="00F5225D" w:rsidRDefault="005015E1" w:rsidP="00BE7EA7">
            <w:pPr>
              <w:pStyle w:val="TableText"/>
              <w:rPr>
                <w:sz w:val="22"/>
              </w:rPr>
            </w:pPr>
            <w:r w:rsidRPr="00F23512">
              <w:rPr>
                <w:lang w:eastAsia="en-GB"/>
              </w:rPr>
              <w:t xml:space="preserve">Mobile Connect </w:t>
            </w:r>
            <w:r>
              <w:rPr>
                <w:lang w:eastAsia="en-GB"/>
              </w:rPr>
              <w:t xml:space="preserve">Product Manager’s </w:t>
            </w:r>
            <w:r w:rsidRPr="00F23512">
              <w:rPr>
                <w:lang w:eastAsia="en-GB"/>
              </w:rPr>
              <w:t xml:space="preserve">Lifecycle </w:t>
            </w:r>
            <w:r>
              <w:rPr>
                <w:lang w:eastAsia="en-GB"/>
              </w:rPr>
              <w:t>Handbook</w:t>
            </w:r>
          </w:p>
        </w:tc>
      </w:tr>
      <w:tr w:rsidR="005015E1" w:rsidRPr="00F23512" w14:paraId="47B447F8" w14:textId="77777777" w:rsidTr="00BE7EA7">
        <w:tc>
          <w:tcPr>
            <w:tcW w:w="936" w:type="dxa"/>
          </w:tcPr>
          <w:p w14:paraId="72EFD774" w14:textId="77777777" w:rsidR="005015E1" w:rsidRPr="00F5225D" w:rsidRDefault="005015E1" w:rsidP="00BE7EA7">
            <w:pPr>
              <w:pStyle w:val="TableReferencenumber"/>
            </w:pPr>
            <w:bookmarkStart w:id="63" w:name="_Ref528132232"/>
          </w:p>
        </w:tc>
        <w:bookmarkEnd w:id="63"/>
        <w:tc>
          <w:tcPr>
            <w:tcW w:w="1870" w:type="dxa"/>
            <w:vAlign w:val="center"/>
          </w:tcPr>
          <w:p w14:paraId="762971A7" w14:textId="77777777" w:rsidR="005015E1" w:rsidRDefault="005015E1" w:rsidP="00BE7EA7">
            <w:pPr>
              <w:pStyle w:val="TableText"/>
            </w:pPr>
            <w:r w:rsidRPr="008D6463">
              <w:t>IDY.33</w:t>
            </w:r>
          </w:p>
        </w:tc>
        <w:tc>
          <w:tcPr>
            <w:tcW w:w="6102" w:type="dxa"/>
            <w:vAlign w:val="center"/>
          </w:tcPr>
          <w:p w14:paraId="2EF9FEE4" w14:textId="77777777" w:rsidR="005015E1" w:rsidRPr="00F5225D" w:rsidRDefault="005015E1" w:rsidP="00BE7EA7">
            <w:pPr>
              <w:pStyle w:val="TableText"/>
              <w:rPr>
                <w:lang w:eastAsia="en-GB"/>
              </w:rPr>
            </w:pPr>
            <w:r w:rsidRPr="008D6463">
              <w:t>API Exchange Functional Description</w:t>
            </w:r>
          </w:p>
        </w:tc>
      </w:tr>
      <w:tr w:rsidR="005015E1" w:rsidRPr="00F23512" w14:paraId="78D1C804" w14:textId="77777777" w:rsidTr="00BE7EA7">
        <w:tc>
          <w:tcPr>
            <w:tcW w:w="936" w:type="dxa"/>
          </w:tcPr>
          <w:p w14:paraId="6A39D872" w14:textId="77777777" w:rsidR="005015E1" w:rsidRPr="00F5225D" w:rsidRDefault="005015E1" w:rsidP="00BE7EA7">
            <w:pPr>
              <w:pStyle w:val="TableReferencenumber"/>
            </w:pPr>
          </w:p>
        </w:tc>
        <w:tc>
          <w:tcPr>
            <w:tcW w:w="1870" w:type="dxa"/>
            <w:vAlign w:val="center"/>
          </w:tcPr>
          <w:p w14:paraId="48318812" w14:textId="77777777" w:rsidR="005015E1" w:rsidRPr="008D6463" w:rsidRDefault="005015E1" w:rsidP="00BE7EA7">
            <w:pPr>
              <w:pStyle w:val="TableText"/>
            </w:pPr>
            <w:r>
              <w:t>IDY.09</w:t>
            </w:r>
          </w:p>
        </w:tc>
        <w:tc>
          <w:tcPr>
            <w:tcW w:w="6102" w:type="dxa"/>
            <w:vAlign w:val="center"/>
          </w:tcPr>
          <w:p w14:paraId="2F3E01A4" w14:textId="77777777" w:rsidR="005015E1" w:rsidRPr="008D6463" w:rsidRDefault="005015E1" w:rsidP="00BE7EA7">
            <w:pPr>
              <w:pStyle w:val="TableText"/>
            </w:pPr>
            <w:r>
              <w:t>Mobile Connect Authenticator Options</w:t>
            </w:r>
          </w:p>
        </w:tc>
      </w:tr>
    </w:tbl>
    <w:p w14:paraId="06335CF9" w14:textId="77777777" w:rsidR="005015E1" w:rsidRDefault="005015E1" w:rsidP="005015E1">
      <w:pPr>
        <w:pStyle w:val="NormalParagraph"/>
        <w:ind w:right="799"/>
      </w:pPr>
    </w:p>
    <w:p w14:paraId="7B826849" w14:textId="47E4D00E" w:rsidR="005015E1" w:rsidRDefault="005015E1" w:rsidP="005015E1">
      <w:pPr>
        <w:rPr>
          <w:rFonts w:cs="Arial"/>
          <w:b/>
          <w:bCs/>
          <w:sz w:val="28"/>
          <w:szCs w:val="32"/>
        </w:rPr>
      </w:pPr>
      <w:bookmarkStart w:id="64" w:name="_Toc466480052"/>
      <w:bookmarkStart w:id="65" w:name="_Toc327548007"/>
      <w:bookmarkStart w:id="66" w:name="_Toc327548207"/>
      <w:bookmarkEnd w:id="13"/>
    </w:p>
    <w:p w14:paraId="54E7C2B0" w14:textId="77777777" w:rsidR="005015E1" w:rsidRDefault="005015E1" w:rsidP="005015E1">
      <w:pPr>
        <w:pStyle w:val="Heading1"/>
      </w:pPr>
      <w:bookmarkStart w:id="67" w:name="_Toc466283432"/>
      <w:bookmarkStart w:id="68" w:name="_Toc492978856"/>
      <w:bookmarkStart w:id="69" w:name="_Toc119425894"/>
      <w:bookmarkStart w:id="70" w:name="_Toc466480058"/>
      <w:bookmarkStart w:id="71" w:name="_Toc452138323"/>
      <w:bookmarkStart w:id="72" w:name="_Toc121260642"/>
      <w:bookmarkEnd w:id="64"/>
      <w:r>
        <w:t>Mobile Connect Account Takeover Protection</w:t>
      </w:r>
      <w:bookmarkEnd w:id="67"/>
      <w:bookmarkEnd w:id="68"/>
      <w:r>
        <w:t xml:space="preserve"> (ATP)</w:t>
      </w:r>
      <w:bookmarkEnd w:id="69"/>
      <w:bookmarkEnd w:id="72"/>
    </w:p>
    <w:p w14:paraId="5A24B1AD" w14:textId="68535AA5" w:rsidR="005015E1" w:rsidRDefault="005015E1" w:rsidP="005015E1">
      <w:pPr>
        <w:pStyle w:val="NormalParagraph"/>
        <w:rPr>
          <w:lang w:eastAsia="en-US" w:bidi="bn-BD"/>
        </w:rPr>
      </w:pPr>
      <w:r>
        <w:rPr>
          <w:lang w:eastAsia="en-US" w:bidi="bn-BD"/>
        </w:rPr>
        <w:t xml:space="preserve">Mobile Connect </w:t>
      </w:r>
      <w:r w:rsidRPr="00CA38D6">
        <w:rPr>
          <w:lang w:eastAsia="en-US" w:bidi="bn-BD"/>
        </w:rPr>
        <w:t xml:space="preserve">ATP </w:t>
      </w:r>
      <w:r>
        <w:rPr>
          <w:lang w:eastAsia="en-US" w:bidi="bn-BD"/>
        </w:rPr>
        <w:t xml:space="preserve">allows </w:t>
      </w:r>
      <w:r w:rsidR="003E04A9">
        <w:rPr>
          <w:lang w:eastAsia="en-US" w:bidi="bn-BD"/>
        </w:rPr>
        <w:t>SP</w:t>
      </w:r>
      <w:r w:rsidRPr="00CA38D6">
        <w:rPr>
          <w:lang w:eastAsia="en-US" w:bidi="bn-BD"/>
        </w:rPr>
        <w:t>s</w:t>
      </w:r>
      <w:r w:rsidR="009C23F7">
        <w:rPr>
          <w:lang w:eastAsia="en-US" w:bidi="bn-BD"/>
        </w:rPr>
        <w:t xml:space="preserve"> </w:t>
      </w:r>
      <w:r>
        <w:rPr>
          <w:lang w:eastAsia="en-US" w:bidi="bn-BD"/>
        </w:rPr>
        <w:t xml:space="preserve">to check attributes associated with a User’s mobile account to provide a </w:t>
      </w:r>
      <w:r w:rsidRPr="00CA38D6">
        <w:rPr>
          <w:lang w:eastAsia="en-US" w:bidi="bn-BD"/>
        </w:rPr>
        <w:t>secure method of combatting identity fraud</w:t>
      </w:r>
      <w:r>
        <w:rPr>
          <w:lang w:eastAsia="en-US" w:bidi="bn-BD"/>
        </w:rPr>
        <w:t>.</w:t>
      </w:r>
    </w:p>
    <w:p w14:paraId="4CC12E96" w14:textId="77777777" w:rsidR="005015E1" w:rsidRDefault="005015E1" w:rsidP="005015E1">
      <w:pPr>
        <w:pStyle w:val="NormalParagraph"/>
        <w:rPr>
          <w:rFonts w:cs="Arial"/>
          <w:lang w:eastAsia="en-US" w:bidi="bn-BD"/>
        </w:rPr>
      </w:pPr>
      <w:r>
        <w:rPr>
          <w:rFonts w:cs="Arial"/>
          <w:lang w:eastAsia="en-US" w:bidi="bn-BD"/>
        </w:rPr>
        <w:t>Many online banking accounts today are protected using secure online banking credentials (e.g., password and secret customer number), and additionally using the phone number associated with the User’s bank account to increase security. This two-factor security helps mitigate fraud if one of the factors is compromised, for example if the User’s online banking credentials have been stolen.</w:t>
      </w:r>
    </w:p>
    <w:p w14:paraId="2A250A2F" w14:textId="77777777" w:rsidR="005015E1" w:rsidRDefault="005015E1" w:rsidP="005015E1">
      <w:pPr>
        <w:pStyle w:val="NormalParagraph"/>
        <w:rPr>
          <w:lang w:eastAsia="en-US" w:bidi="bn-BD"/>
        </w:rPr>
      </w:pPr>
      <w:r>
        <w:rPr>
          <w:lang w:eastAsia="en-US" w:bidi="bn-BD"/>
        </w:rPr>
        <w:t xml:space="preserve">Mobile Connect ATP allows SPs to perform additional checks on the User’s mobile phone status to determine </w:t>
      </w:r>
      <w:proofErr w:type="gramStart"/>
      <w:r>
        <w:rPr>
          <w:lang w:eastAsia="en-US" w:bidi="bn-BD"/>
        </w:rPr>
        <w:t>whether or not</w:t>
      </w:r>
      <w:proofErr w:type="gramEnd"/>
      <w:r>
        <w:rPr>
          <w:lang w:eastAsia="en-US" w:bidi="bn-BD"/>
        </w:rPr>
        <w:t xml:space="preserve"> this factor may have been compromised.  In particular, the service returns an indication of whether there has been a recent SIM swap and may optionally return other information relating to the User’s mobile account:</w:t>
      </w:r>
    </w:p>
    <w:p w14:paraId="6A0470CF" w14:textId="77777777" w:rsidR="005015E1" w:rsidRDefault="005015E1" w:rsidP="005015E1">
      <w:pPr>
        <w:pStyle w:val="ListBullet2"/>
        <w:ind w:left="1020"/>
      </w:pPr>
      <w:r>
        <w:t>Recent</w:t>
      </w:r>
      <w:r w:rsidRPr="00BF0D68">
        <w:t xml:space="preserve"> SIM </w:t>
      </w:r>
      <w:r>
        <w:t>change (</w:t>
      </w:r>
      <w:proofErr w:type="spellStart"/>
      <w:r>
        <w:t>MSISDN</w:t>
      </w:r>
      <w:proofErr w:type="spellEnd"/>
      <w:r>
        <w:t xml:space="preserve"> - IMSI pairing) - REQUIRED</w:t>
      </w:r>
    </w:p>
    <w:p w14:paraId="476896D5" w14:textId="77777777" w:rsidR="005015E1" w:rsidRDefault="005015E1" w:rsidP="005015E1">
      <w:pPr>
        <w:pStyle w:val="ListBullet2"/>
        <w:ind w:left="1020"/>
      </w:pPr>
      <w:r>
        <w:t>Active unconditional call diverts - OPTIONAL</w:t>
      </w:r>
    </w:p>
    <w:p w14:paraId="126F36DC" w14:textId="77777777" w:rsidR="005015E1" w:rsidRDefault="005015E1" w:rsidP="005015E1">
      <w:pPr>
        <w:pStyle w:val="ListBullet2"/>
        <w:ind w:left="1020"/>
      </w:pPr>
      <w:r>
        <w:t>Device reported lost or s</w:t>
      </w:r>
      <w:r w:rsidRPr="00BF0D68">
        <w:t xml:space="preserve">tolen </w:t>
      </w:r>
      <w:r>
        <w:t>- OPTIONAL</w:t>
      </w:r>
    </w:p>
    <w:p w14:paraId="4F98425B" w14:textId="77777777" w:rsidR="005015E1" w:rsidRDefault="005015E1" w:rsidP="005015E1">
      <w:pPr>
        <w:pStyle w:val="ListBullet2"/>
        <w:ind w:left="1020"/>
      </w:pPr>
      <w:r>
        <w:t>Recent device change (</w:t>
      </w:r>
      <w:r>
        <w:rPr>
          <w:szCs w:val="20"/>
        </w:rPr>
        <w:t xml:space="preserve">Timestamp of last </w:t>
      </w:r>
      <w:proofErr w:type="spellStart"/>
      <w:r w:rsidRPr="0068421C">
        <w:rPr>
          <w:szCs w:val="20"/>
        </w:rPr>
        <w:t>MSISDN</w:t>
      </w:r>
      <w:proofErr w:type="spellEnd"/>
      <w:r>
        <w:rPr>
          <w:szCs w:val="20"/>
        </w:rPr>
        <w:t xml:space="preserve"> -</w:t>
      </w:r>
      <w:r w:rsidRPr="0068421C">
        <w:rPr>
          <w:szCs w:val="20"/>
        </w:rPr>
        <w:t xml:space="preserve"> IMEI </w:t>
      </w:r>
      <w:r>
        <w:rPr>
          <w:szCs w:val="20"/>
        </w:rPr>
        <w:t>pairing change)</w:t>
      </w:r>
      <w:r>
        <w:t xml:space="preserve"> - OPTIONAL</w:t>
      </w:r>
    </w:p>
    <w:p w14:paraId="1F366BE3" w14:textId="77777777" w:rsidR="005015E1" w:rsidRPr="00C52665" w:rsidRDefault="005015E1" w:rsidP="005015E1">
      <w:pPr>
        <w:pStyle w:val="ListBullet2"/>
        <w:ind w:left="1020"/>
      </w:pPr>
      <w:r>
        <w:t xml:space="preserve">Mobile phone account status (active or inactive) – OPTIONAL </w:t>
      </w:r>
    </w:p>
    <w:p w14:paraId="05D59A3E" w14:textId="77777777" w:rsidR="005015E1" w:rsidRDefault="005015E1" w:rsidP="005015E1">
      <w:pPr>
        <w:pStyle w:val="Heading2"/>
      </w:pPr>
      <w:bookmarkStart w:id="73" w:name="_Toc466283433"/>
      <w:bookmarkStart w:id="74" w:name="_Toc492978857"/>
      <w:bookmarkStart w:id="75" w:name="_Toc119425895"/>
      <w:bookmarkStart w:id="76" w:name="_Toc121260643"/>
      <w:r w:rsidRPr="00C52665">
        <w:t>Use</w:t>
      </w:r>
      <w:r>
        <w:t xml:space="preserve"> Case Examples</w:t>
      </w:r>
      <w:bookmarkEnd w:id="73"/>
      <w:bookmarkEnd w:id="74"/>
      <w:bookmarkEnd w:id="75"/>
      <w:bookmarkEnd w:id="76"/>
    </w:p>
    <w:p w14:paraId="6E8AE788" w14:textId="77777777" w:rsidR="005015E1" w:rsidRDefault="005015E1" w:rsidP="005015E1">
      <w:pPr>
        <w:pStyle w:val="NormalParagraph"/>
        <w:rPr>
          <w:lang w:eastAsia="en-US" w:bidi="bn-BD"/>
        </w:rPr>
      </w:pPr>
      <w:r>
        <w:rPr>
          <w:lang w:eastAsia="en-US" w:bidi="bn-BD"/>
        </w:rPr>
        <w:t>Mobile Connect ATP offers a range of practical use cases. Some of the use cases identified for implementation are listed in the table below:</w:t>
      </w:r>
    </w:p>
    <w:tbl>
      <w:tblPr>
        <w:tblStyle w:val="Table2Style"/>
        <w:tblW w:w="9500" w:type="dxa"/>
        <w:tblLook w:val="04A0" w:firstRow="1" w:lastRow="0" w:firstColumn="1" w:lastColumn="0" w:noHBand="0" w:noVBand="1"/>
      </w:tblPr>
      <w:tblGrid>
        <w:gridCol w:w="1560"/>
        <w:gridCol w:w="4800"/>
        <w:gridCol w:w="3140"/>
      </w:tblGrid>
      <w:tr w:rsidR="005015E1" w:rsidRPr="000C222A" w14:paraId="479997E4" w14:textId="77777777" w:rsidTr="00BE7EA7">
        <w:trPr>
          <w:cnfStyle w:val="100000000000" w:firstRow="1" w:lastRow="0" w:firstColumn="0" w:lastColumn="0" w:oddVBand="0" w:evenVBand="0" w:oddHBand="0" w:evenHBand="0" w:firstRowFirstColumn="0" w:firstRowLastColumn="0" w:lastRowFirstColumn="0" w:lastRowLastColumn="0"/>
          <w:trHeight w:val="377"/>
        </w:trPr>
        <w:tc>
          <w:tcPr>
            <w:tcW w:w="1560" w:type="dxa"/>
            <w:hideMark/>
          </w:tcPr>
          <w:p w14:paraId="61E13049" w14:textId="77777777" w:rsidR="005015E1" w:rsidRPr="000C222A" w:rsidRDefault="005015E1" w:rsidP="00BE7EA7">
            <w:pPr>
              <w:pStyle w:val="TableHeader"/>
            </w:pPr>
            <w:r w:rsidRPr="000C222A">
              <w:t xml:space="preserve">Product </w:t>
            </w:r>
          </w:p>
        </w:tc>
        <w:tc>
          <w:tcPr>
            <w:tcW w:w="4800" w:type="dxa"/>
            <w:hideMark/>
          </w:tcPr>
          <w:p w14:paraId="17063F4F" w14:textId="77777777" w:rsidR="005015E1" w:rsidRPr="000C222A" w:rsidRDefault="005015E1" w:rsidP="00BE7EA7">
            <w:pPr>
              <w:pStyle w:val="TableHeader"/>
            </w:pPr>
            <w:r>
              <w:t xml:space="preserve">Example </w:t>
            </w:r>
            <w:r w:rsidRPr="000C222A">
              <w:t>Use Case</w:t>
            </w:r>
            <w:r>
              <w:t>s</w:t>
            </w:r>
          </w:p>
        </w:tc>
        <w:tc>
          <w:tcPr>
            <w:tcW w:w="3140" w:type="dxa"/>
            <w:hideMark/>
          </w:tcPr>
          <w:p w14:paraId="65B7648E" w14:textId="77777777" w:rsidR="005015E1" w:rsidRPr="000C222A" w:rsidRDefault="005015E1" w:rsidP="00BE7EA7">
            <w:pPr>
              <w:pStyle w:val="TableHeader"/>
            </w:pPr>
            <w:r w:rsidRPr="000C222A">
              <w:t>Attributes Involved</w:t>
            </w:r>
          </w:p>
        </w:tc>
      </w:tr>
      <w:tr w:rsidR="005015E1" w:rsidRPr="000C222A" w14:paraId="0EB49505" w14:textId="77777777" w:rsidTr="00BE7EA7">
        <w:trPr>
          <w:trHeight w:val="1752"/>
        </w:trPr>
        <w:tc>
          <w:tcPr>
            <w:tcW w:w="1560" w:type="dxa"/>
            <w:hideMark/>
          </w:tcPr>
          <w:p w14:paraId="6A64ECC7" w14:textId="77777777" w:rsidR="005015E1" w:rsidRPr="000C222A" w:rsidRDefault="005015E1" w:rsidP="00BE7EA7">
            <w:pPr>
              <w:pStyle w:val="TableText"/>
            </w:pPr>
            <w:r w:rsidRPr="000C222A">
              <w:t xml:space="preserve">Mobile Connect </w:t>
            </w:r>
            <w:r>
              <w:t>Account Takeover Protection</w:t>
            </w:r>
          </w:p>
        </w:tc>
        <w:tc>
          <w:tcPr>
            <w:tcW w:w="4800" w:type="dxa"/>
            <w:hideMark/>
          </w:tcPr>
          <w:p w14:paraId="3CDC7E29" w14:textId="77777777" w:rsidR="005015E1" w:rsidRDefault="005015E1" w:rsidP="00BE7EA7">
            <w:pPr>
              <w:pStyle w:val="TableText"/>
              <w:numPr>
                <w:ilvl w:val="0"/>
                <w:numId w:val="21"/>
              </w:numPr>
            </w:pPr>
            <w:r>
              <w:t>Prevention of various types of fraud in banking such as SIM swap fraud</w:t>
            </w:r>
          </w:p>
          <w:p w14:paraId="71E0CC00" w14:textId="77777777" w:rsidR="005015E1" w:rsidRDefault="005015E1" w:rsidP="00BE7EA7">
            <w:pPr>
              <w:pStyle w:val="TableText"/>
              <w:numPr>
                <w:ilvl w:val="0"/>
                <w:numId w:val="21"/>
              </w:numPr>
            </w:pPr>
            <w:r>
              <w:t>M</w:t>
            </w:r>
            <w:r w:rsidRPr="00AA4F28">
              <w:t xml:space="preserve">aking </w:t>
            </w:r>
            <w:r>
              <w:t xml:space="preserve">SMS </w:t>
            </w:r>
            <w:r w:rsidRPr="00AA4F28">
              <w:t>one-time passwords more secure</w:t>
            </w:r>
          </w:p>
          <w:p w14:paraId="57FF056C" w14:textId="77777777" w:rsidR="005015E1" w:rsidRDefault="005015E1" w:rsidP="00BE7EA7">
            <w:pPr>
              <w:pStyle w:val="TableText"/>
              <w:numPr>
                <w:ilvl w:val="0"/>
                <w:numId w:val="21"/>
              </w:numPr>
            </w:pPr>
            <w:r>
              <w:t>Secure authentication (authenticate + ATP)</w:t>
            </w:r>
          </w:p>
          <w:p w14:paraId="6D7FEFF3" w14:textId="77777777" w:rsidR="005015E1" w:rsidRPr="000C222A" w:rsidRDefault="005015E1" w:rsidP="00BE7EA7">
            <w:pPr>
              <w:pStyle w:val="TableText"/>
              <w:numPr>
                <w:ilvl w:val="0"/>
                <w:numId w:val="21"/>
              </w:numPr>
            </w:pPr>
            <w:r>
              <w:t xml:space="preserve">Securing add new payee transactions in banking </w:t>
            </w:r>
          </w:p>
        </w:tc>
        <w:tc>
          <w:tcPr>
            <w:tcW w:w="3140" w:type="dxa"/>
            <w:hideMark/>
          </w:tcPr>
          <w:p w14:paraId="602536CF" w14:textId="77777777" w:rsidR="005015E1" w:rsidRPr="000C222A" w:rsidRDefault="005015E1" w:rsidP="00BE7EA7">
            <w:pPr>
              <w:pStyle w:val="TableText"/>
            </w:pPr>
            <w:r w:rsidRPr="000C222A">
              <w:t>SIM Swap, Lost / Stolen</w:t>
            </w:r>
            <w:r>
              <w:t>,</w:t>
            </w:r>
            <w:r w:rsidRPr="000C222A">
              <w:t xml:space="preserve"> </w:t>
            </w:r>
            <w:r>
              <w:t xml:space="preserve">Unconditional </w:t>
            </w:r>
            <w:r w:rsidRPr="000C222A">
              <w:t>Call divert status</w:t>
            </w:r>
            <w:r>
              <w:t>, Device change</w:t>
            </w:r>
          </w:p>
        </w:tc>
      </w:tr>
    </w:tbl>
    <w:p w14:paraId="40C590EC" w14:textId="77777777" w:rsidR="005015E1" w:rsidRDefault="005015E1" w:rsidP="005015E1">
      <w:pPr>
        <w:pStyle w:val="TableCaption"/>
        <w:numPr>
          <w:ilvl w:val="0"/>
          <w:numId w:val="1"/>
        </w:numPr>
      </w:pPr>
      <w:r>
        <w:t>: Use C</w:t>
      </w:r>
      <w:r w:rsidRPr="00C52665">
        <w:t>ase</w:t>
      </w:r>
      <w:r>
        <w:t xml:space="preserve"> Examples</w:t>
      </w:r>
    </w:p>
    <w:p w14:paraId="765578BC" w14:textId="60A1AB90" w:rsidR="005015E1" w:rsidRDefault="005015E1" w:rsidP="005015E1">
      <w:pPr>
        <w:pStyle w:val="NormalParagraph"/>
        <w:rPr>
          <w:lang w:eastAsia="en-US" w:bidi="bn-BD"/>
        </w:rPr>
      </w:pPr>
      <w:r>
        <w:rPr>
          <w:lang w:eastAsia="en-US" w:bidi="bn-BD"/>
        </w:rPr>
        <w:t xml:space="preserve">The key aim of the Mobile Connect ATP service is to flag to a SP whether the </w:t>
      </w:r>
      <w:r w:rsidR="0080390F">
        <w:rPr>
          <w:lang w:eastAsia="en-US" w:bidi="bn-BD"/>
        </w:rPr>
        <w:t>User</w:t>
      </w:r>
      <w:r>
        <w:rPr>
          <w:lang w:eastAsia="en-US" w:bidi="bn-BD"/>
        </w:rPr>
        <w:t xml:space="preserve">’s SIM has recently been changed which might indicate fraud where the attacker is attempting to circumvent a SPs second-factor authentication on a mobile device.  Depending on Operator implementation, the service may also provide additional information such as whether the device has been reported lost or stolen, or whether the </w:t>
      </w:r>
      <w:r w:rsidR="0080390F">
        <w:rPr>
          <w:lang w:eastAsia="en-US" w:bidi="bn-BD"/>
        </w:rPr>
        <w:t>User</w:t>
      </w:r>
      <w:r>
        <w:rPr>
          <w:lang w:eastAsia="en-US" w:bidi="bn-BD"/>
        </w:rPr>
        <w:t>’s SIM has been swapped to a different mobile device.</w:t>
      </w:r>
    </w:p>
    <w:p w14:paraId="4805BDAE" w14:textId="77777777" w:rsidR="005015E1" w:rsidRDefault="005015E1" w:rsidP="005015E1">
      <w:pPr>
        <w:pStyle w:val="Heading1"/>
        <w:jc w:val="both"/>
        <w:rPr>
          <w:noProof/>
        </w:rPr>
      </w:pPr>
      <w:bookmarkStart w:id="77" w:name="_Toc119425896"/>
      <w:bookmarkStart w:id="78" w:name="_Toc453675837"/>
      <w:bookmarkStart w:id="79" w:name="_Toc121260644"/>
      <w:r>
        <w:rPr>
          <w:noProof/>
        </w:rPr>
        <w:lastRenderedPageBreak/>
        <w:t>Mobile Connect ATP Service Flow</w:t>
      </w:r>
      <w:bookmarkEnd w:id="77"/>
      <w:bookmarkEnd w:id="79"/>
    </w:p>
    <w:p w14:paraId="3750648E" w14:textId="353F9B8A" w:rsidR="009C23F7" w:rsidRDefault="005015E1" w:rsidP="00BB0606">
      <w:pPr>
        <w:pStyle w:val="NormalParagraph"/>
      </w:pPr>
      <w:r>
        <w:t>The Mobile Connect ATP service can be supp</w:t>
      </w:r>
      <w:r w:rsidR="00BE7EA7">
        <w:t xml:space="preserve">orted in the </w:t>
      </w:r>
      <w:r>
        <w:t xml:space="preserve">Server-Initiated mode as a background service.  </w:t>
      </w:r>
    </w:p>
    <w:p w14:paraId="1F4A9FF1" w14:textId="643ECA02" w:rsidR="005015E1" w:rsidRPr="004D11F6" w:rsidRDefault="005015E1" w:rsidP="00BB0606">
      <w:pPr>
        <w:pStyle w:val="NOTE"/>
      </w:pPr>
      <w:r>
        <w:t>Note</w:t>
      </w:r>
      <w:r w:rsidR="009C23F7">
        <w:t>:</w:t>
      </w:r>
      <w:r w:rsidR="009C23F7">
        <w:tab/>
        <w:t>T</w:t>
      </w:r>
      <w:r>
        <w:t xml:space="preserve">hat </w:t>
      </w:r>
      <w:r w:rsidRPr="004D11F6">
        <w:t xml:space="preserve">Operators within the same market </w:t>
      </w:r>
      <w:r>
        <w:t>should</w:t>
      </w:r>
      <w:r w:rsidRPr="004D11F6">
        <w:t xml:space="preserve"> </w:t>
      </w:r>
      <w:r>
        <w:t xml:space="preserve">deploy and operate the </w:t>
      </w:r>
      <w:r w:rsidR="00FD1375">
        <w:t>Mobile Connect</w:t>
      </w:r>
      <w:r>
        <w:t xml:space="preserve"> ATP service in the same way.</w:t>
      </w:r>
    </w:p>
    <w:p w14:paraId="0CE6B154" w14:textId="0CD35710" w:rsidR="005015E1" w:rsidRPr="004D11F6" w:rsidRDefault="005015E1" w:rsidP="005015E1">
      <w:pPr>
        <w:pStyle w:val="NormalParagraph"/>
        <w:rPr>
          <w:lang w:eastAsia="en-US" w:bidi="bn-BD"/>
        </w:rPr>
      </w:pPr>
      <w:r>
        <w:rPr>
          <w:lang w:eastAsia="en-US" w:bidi="bn-BD"/>
        </w:rPr>
        <w:t xml:space="preserve">The SP must register for the </w:t>
      </w:r>
      <w:r w:rsidR="00FD1375">
        <w:rPr>
          <w:lang w:eastAsia="en-US" w:bidi="bn-BD"/>
        </w:rPr>
        <w:t>Mobile Connect</w:t>
      </w:r>
      <w:r>
        <w:rPr>
          <w:lang w:eastAsia="en-US" w:bidi="bn-BD"/>
        </w:rPr>
        <w:t xml:space="preserve"> ATP service using Server-Initiated mode.</w:t>
      </w:r>
      <w:r w:rsidRPr="00293621">
        <w:rPr>
          <w:lang w:eastAsia="en-US" w:bidi="bn-BD"/>
        </w:rPr>
        <w:t xml:space="preserve"> </w:t>
      </w:r>
    </w:p>
    <w:p w14:paraId="092D8FA7" w14:textId="77777777" w:rsidR="005015E1" w:rsidRDefault="005015E1" w:rsidP="005015E1">
      <w:pPr>
        <w:pStyle w:val="NormalParagraph"/>
      </w:pPr>
      <w:r w:rsidRPr="004D11F6">
        <w:rPr>
          <w:lang w:eastAsia="en-US" w:bidi="bn-BD"/>
        </w:rPr>
        <w:t xml:space="preserve">The SP </w:t>
      </w:r>
      <w:r>
        <w:rPr>
          <w:lang w:eastAsia="en-US" w:bidi="bn-BD"/>
        </w:rPr>
        <w:t>typically will use</w:t>
      </w:r>
      <w:r w:rsidRPr="004D11F6">
        <w:rPr>
          <w:lang w:eastAsia="en-US" w:bidi="bn-BD"/>
        </w:rPr>
        <w:t xml:space="preserve"> the User’s mobile number (</w:t>
      </w:r>
      <w:proofErr w:type="spellStart"/>
      <w:r w:rsidRPr="004D11F6">
        <w:rPr>
          <w:lang w:eastAsia="en-US" w:bidi="bn-BD"/>
        </w:rPr>
        <w:t>MSISDN</w:t>
      </w:r>
      <w:proofErr w:type="spellEnd"/>
      <w:r w:rsidRPr="004D11F6">
        <w:rPr>
          <w:lang w:eastAsia="en-US" w:bidi="bn-BD"/>
        </w:rPr>
        <w:t xml:space="preserve">) </w:t>
      </w:r>
      <w:proofErr w:type="gramStart"/>
      <w:r w:rsidRPr="004D11F6">
        <w:rPr>
          <w:lang w:eastAsia="en-US" w:bidi="bn-BD"/>
        </w:rPr>
        <w:t>in order to</w:t>
      </w:r>
      <w:proofErr w:type="gramEnd"/>
      <w:r w:rsidRPr="004D11F6">
        <w:rPr>
          <w:lang w:eastAsia="en-US" w:bidi="bn-BD"/>
        </w:rPr>
        <w:t xml:space="preserve"> submit an ATP service request</w:t>
      </w:r>
      <w:r>
        <w:rPr>
          <w:lang w:eastAsia="en-US" w:bidi="bn-BD"/>
        </w:rPr>
        <w:t xml:space="preserve"> but can also use a PCR</w:t>
      </w:r>
      <w:r w:rsidRPr="004D11F6">
        <w:rPr>
          <w:lang w:eastAsia="en-US" w:bidi="bn-BD"/>
        </w:rPr>
        <w:t>.</w:t>
      </w:r>
      <w:r>
        <w:rPr>
          <w:lang w:eastAsia="en-US" w:bidi="bn-BD"/>
        </w:rPr>
        <w:t xml:space="preserve"> The ATP request will occur in the background without involving the User hence allowing the SP to request an ATP check if the SP suspects fraud (</w:t>
      </w:r>
      <w:proofErr w:type="gramStart"/>
      <w:r>
        <w:rPr>
          <w:lang w:eastAsia="en-US" w:bidi="bn-BD"/>
        </w:rPr>
        <w:t>assuming that</w:t>
      </w:r>
      <w:proofErr w:type="gramEnd"/>
      <w:r>
        <w:rPr>
          <w:lang w:eastAsia="en-US" w:bidi="bn-BD"/>
        </w:rPr>
        <w:t xml:space="preserve"> consent where required is captured separately).</w:t>
      </w:r>
    </w:p>
    <w:p w14:paraId="33ECAC9F" w14:textId="7762C312" w:rsidR="005015E1" w:rsidRDefault="005015E1" w:rsidP="00BB0606">
      <w:pPr>
        <w:pStyle w:val="NormalParagraph"/>
      </w:pPr>
      <w:r>
        <w:fldChar w:fldCharType="begin"/>
      </w:r>
      <w:r>
        <w:instrText xml:space="preserve"> REF _Ref528078889 \r \h </w:instrText>
      </w:r>
      <w:r>
        <w:fldChar w:fldCharType="separate"/>
      </w:r>
      <w:r w:rsidR="00847406">
        <w:t>Figure 1</w:t>
      </w:r>
      <w:r>
        <w:fldChar w:fldCharType="end"/>
      </w:r>
      <w:r>
        <w:t xml:space="preserve"> shows a high-level flow for the </w:t>
      </w:r>
      <w:r w:rsidR="00FD1375">
        <w:t>Mobile Connect</w:t>
      </w:r>
      <w:r>
        <w:t xml:space="preserve"> ATP service based on the Server-Initiated mode. The Mobile Connect Technical Architecture and Core Requirements </w:t>
      </w:r>
      <w:r>
        <w:fldChar w:fldCharType="begin"/>
      </w:r>
      <w:r>
        <w:instrText xml:space="preserve"> REF _Ref528057645 \r \h </w:instrText>
      </w:r>
      <w:r>
        <w:fldChar w:fldCharType="separate"/>
      </w:r>
      <w:r w:rsidR="00847406">
        <w:t>[6]</w:t>
      </w:r>
      <w:r>
        <w:fldChar w:fldCharType="end"/>
      </w:r>
      <w:r>
        <w:t xml:space="preserve"> provides more detailed sequence diagrams illustrating the flow for the Server-Initiated modes. </w:t>
      </w:r>
      <w:r w:rsidR="00BE7EA7">
        <w:t>T</w:t>
      </w:r>
      <w:r>
        <w:t xml:space="preserve">he Mobile Connect Server-Initiated </w:t>
      </w:r>
      <w:proofErr w:type="spellStart"/>
      <w:r>
        <w:t>OIDC</w:t>
      </w:r>
      <w:proofErr w:type="spellEnd"/>
      <w:r>
        <w:t xml:space="preserve"> Profile </w:t>
      </w:r>
      <w:r>
        <w:fldChar w:fldCharType="begin"/>
      </w:r>
      <w:r>
        <w:instrText xml:space="preserve"> REF _Ref528057683 \r \h </w:instrText>
      </w:r>
      <w:r>
        <w:fldChar w:fldCharType="separate"/>
      </w:r>
      <w:r w:rsidR="00847406">
        <w:t>[8]</w:t>
      </w:r>
      <w:r>
        <w:fldChar w:fldCharType="end"/>
      </w:r>
      <w:r>
        <w:t xml:space="preserve"> define the API calls and responses for each mode.</w:t>
      </w:r>
    </w:p>
    <w:p w14:paraId="19A71705" w14:textId="77777777" w:rsidR="005015E1" w:rsidRDefault="005015E1" w:rsidP="005015E1"/>
    <w:p w14:paraId="3A2AEAB1" w14:textId="313B1997" w:rsidR="005015E1" w:rsidRDefault="005015E1" w:rsidP="005015E1">
      <w:pPr>
        <w:pStyle w:val="NormalParagraph"/>
        <w:ind w:left="-567"/>
        <w:jc w:val="center"/>
        <w:rPr>
          <w:lang w:eastAsia="en-US" w:bidi="bn-BD"/>
        </w:rPr>
      </w:pPr>
      <w:r>
        <w:rPr>
          <w:noProof/>
        </w:rPr>
        <w:lastRenderedPageBreak/>
        <w:drawing>
          <wp:inline distT="0" distB="0" distL="0" distR="0" wp14:anchorId="464C80EA" wp14:editId="348BAC7A">
            <wp:extent cx="5369662" cy="80598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0160" cy="8060595"/>
                    </a:xfrm>
                    <a:prstGeom prst="rect">
                      <a:avLst/>
                    </a:prstGeom>
                  </pic:spPr>
                </pic:pic>
              </a:graphicData>
            </a:graphic>
          </wp:inline>
        </w:drawing>
      </w:r>
    </w:p>
    <w:p w14:paraId="1B7A53E8" w14:textId="49D40257" w:rsidR="005015E1" w:rsidRDefault="005015E1" w:rsidP="005015E1">
      <w:pPr>
        <w:pStyle w:val="Figurecaption"/>
        <w:numPr>
          <w:ilvl w:val="0"/>
          <w:numId w:val="4"/>
        </w:numPr>
      </w:pPr>
      <w:bookmarkStart w:id="80" w:name="_Ref528078889"/>
      <w:r>
        <w:t>: Mobile Connect Account Takeover Protection Service Flow</w:t>
      </w:r>
      <w:bookmarkEnd w:id="80"/>
    </w:p>
    <w:p w14:paraId="656AA589" w14:textId="77777777" w:rsidR="009C23F7" w:rsidRPr="005021C9" w:rsidRDefault="009C23F7" w:rsidP="00BB0606">
      <w:pPr>
        <w:pStyle w:val="Figurecaption"/>
        <w:numPr>
          <w:ilvl w:val="0"/>
          <w:numId w:val="0"/>
        </w:numPr>
        <w:ind w:left="360"/>
        <w:jc w:val="both"/>
      </w:pPr>
    </w:p>
    <w:p w14:paraId="3EF1A953" w14:textId="77777777" w:rsidR="005015E1" w:rsidRDefault="005015E1" w:rsidP="005015E1">
      <w:pPr>
        <w:pStyle w:val="NormalParagraph"/>
        <w:numPr>
          <w:ilvl w:val="0"/>
          <w:numId w:val="22"/>
        </w:numPr>
      </w:pPr>
      <w:r>
        <w:rPr>
          <w:lang w:eastAsia="en-US"/>
        </w:rPr>
        <w:lastRenderedPageBreak/>
        <w:t>The SP wishes to make an ATP service request for this User.</w:t>
      </w:r>
    </w:p>
    <w:p w14:paraId="57F997EA" w14:textId="6846AA48" w:rsidR="005015E1" w:rsidRDefault="005015E1" w:rsidP="005015E1">
      <w:pPr>
        <w:pStyle w:val="NormalParagraph"/>
        <w:numPr>
          <w:ilvl w:val="1"/>
          <w:numId w:val="22"/>
        </w:numPr>
      </w:pPr>
      <w:r>
        <w:rPr>
          <w:lang w:eastAsia="en-US"/>
        </w:rPr>
        <w:t xml:space="preserve">If this is the first time that an ATP service request has been made for the </w:t>
      </w:r>
      <w:proofErr w:type="gramStart"/>
      <w:r>
        <w:rPr>
          <w:lang w:eastAsia="en-US"/>
        </w:rPr>
        <w:t>User</w:t>
      </w:r>
      <w:proofErr w:type="gramEnd"/>
      <w:r>
        <w:rPr>
          <w:lang w:eastAsia="en-US"/>
        </w:rPr>
        <w:t xml:space="preserve"> then it may be necessary to obtain the relevant Operator ID GW details (Mobile Connect Provider Metadata </w:t>
      </w:r>
      <w:r>
        <w:rPr>
          <w:lang w:eastAsia="en-US"/>
        </w:rPr>
        <w:fldChar w:fldCharType="begin"/>
      </w:r>
      <w:r>
        <w:rPr>
          <w:lang w:eastAsia="en-US"/>
        </w:rPr>
        <w:instrText xml:space="preserve"> REF _Ref527468793 \r \h </w:instrText>
      </w:r>
      <w:r>
        <w:rPr>
          <w:lang w:eastAsia="en-US"/>
        </w:rPr>
      </w:r>
      <w:r>
        <w:rPr>
          <w:lang w:eastAsia="en-US"/>
        </w:rPr>
        <w:fldChar w:fldCharType="separate"/>
      </w:r>
      <w:r w:rsidR="00847406">
        <w:rPr>
          <w:lang w:eastAsia="en-US"/>
        </w:rPr>
        <w:t>[5]</w:t>
      </w:r>
      <w:r>
        <w:rPr>
          <w:lang w:eastAsia="en-US"/>
        </w:rPr>
        <w:fldChar w:fldCharType="end"/>
      </w:r>
      <w:r>
        <w:rPr>
          <w:lang w:eastAsia="en-US"/>
        </w:rPr>
        <w:t>5]) for this User using the API Exchange Discovery servic</w:t>
      </w:r>
      <w:r w:rsidR="00DA580B">
        <w:rPr>
          <w:lang w:eastAsia="en-US"/>
        </w:rPr>
        <w:t>e</w:t>
      </w:r>
      <w:r>
        <w:rPr>
          <w:lang w:eastAsia="en-US"/>
        </w:rPr>
        <w:t>. These details can then be stored for future use.</w:t>
      </w:r>
    </w:p>
    <w:p w14:paraId="1D45BFC8" w14:textId="77777777" w:rsidR="005015E1" w:rsidRDefault="005015E1" w:rsidP="005015E1">
      <w:pPr>
        <w:pStyle w:val="NormalParagraph"/>
        <w:numPr>
          <w:ilvl w:val="1"/>
          <w:numId w:val="22"/>
        </w:numPr>
      </w:pPr>
      <w:r>
        <w:rPr>
          <w:lang w:eastAsia="en-US"/>
        </w:rPr>
        <w:t>If the SP has previously requested the service and has an unused and existing valid Access Token, then a Resource Request can be made directly to the applicable Resource Endpoint specified by the Operator.</w:t>
      </w:r>
    </w:p>
    <w:p w14:paraId="17DB11FB" w14:textId="77777777" w:rsidR="005015E1" w:rsidRDefault="005015E1" w:rsidP="005015E1">
      <w:pPr>
        <w:pStyle w:val="NormalParagraph"/>
        <w:numPr>
          <w:ilvl w:val="1"/>
          <w:numId w:val="22"/>
        </w:numPr>
      </w:pPr>
      <w:proofErr w:type="gramStart"/>
      <w:r>
        <w:rPr>
          <w:lang w:eastAsia="en-US"/>
        </w:rPr>
        <w:t>Otherwise</w:t>
      </w:r>
      <w:proofErr w:type="gramEnd"/>
      <w:r>
        <w:rPr>
          <w:lang w:eastAsia="en-US"/>
        </w:rPr>
        <w:t xml:space="preserve"> a full Mobile Connect API request (</w:t>
      </w:r>
      <w:proofErr w:type="spellStart"/>
      <w:r>
        <w:rPr>
          <w:lang w:eastAsia="en-US"/>
        </w:rPr>
        <w:t>OIDC</w:t>
      </w:r>
      <w:proofErr w:type="spellEnd"/>
      <w:r>
        <w:rPr>
          <w:lang w:eastAsia="en-US"/>
        </w:rPr>
        <w:t xml:space="preserve"> Authorization Request) is made to the Operator ID GW Authorization Server using the User’s </w:t>
      </w:r>
      <w:proofErr w:type="spellStart"/>
      <w:r>
        <w:rPr>
          <w:lang w:eastAsia="en-US"/>
        </w:rPr>
        <w:t>MSISDN</w:t>
      </w:r>
      <w:proofErr w:type="spellEnd"/>
      <w:r>
        <w:rPr>
          <w:lang w:eastAsia="en-US"/>
        </w:rPr>
        <w:t xml:space="preserve"> or PCR as an identifier and specifying the ATP service using the </w:t>
      </w:r>
      <w:r w:rsidRPr="0080294D">
        <w:rPr>
          <w:rFonts w:ascii="Courier New" w:hAnsi="Courier New"/>
          <w:lang w:eastAsia="en-US"/>
        </w:rPr>
        <w:t>scope</w:t>
      </w:r>
      <w:r>
        <w:rPr>
          <w:lang w:eastAsia="en-US"/>
        </w:rPr>
        <w:t xml:space="preserve"> parameter.</w:t>
      </w:r>
    </w:p>
    <w:p w14:paraId="78921578" w14:textId="77777777" w:rsidR="009C23F7" w:rsidRDefault="005015E1" w:rsidP="005015E1">
      <w:pPr>
        <w:pStyle w:val="NormalParagraph"/>
        <w:numPr>
          <w:ilvl w:val="1"/>
          <w:numId w:val="22"/>
        </w:numPr>
      </w:pPr>
      <w:r>
        <w:t xml:space="preserve">If the User has for some reason revoked consent, then the SP should not make the request until the User has given their consent again. </w:t>
      </w:r>
    </w:p>
    <w:p w14:paraId="4A4D981C" w14:textId="0402C364" w:rsidR="005015E1" w:rsidRDefault="005015E1" w:rsidP="00BB0606">
      <w:pPr>
        <w:pStyle w:val="NOTE"/>
      </w:pPr>
      <w:r>
        <w:t>Note</w:t>
      </w:r>
      <w:r w:rsidR="009C23F7">
        <w:t>:</w:t>
      </w:r>
      <w:r w:rsidR="009C23F7">
        <w:tab/>
        <w:t>T</w:t>
      </w:r>
      <w:r>
        <w:t xml:space="preserve">hat the User should have flexibility to block the SP, to revoke the already given consent and to request explicit transaction-based consent to protect the </w:t>
      </w:r>
      <w:r w:rsidR="0080390F">
        <w:t>User</w:t>
      </w:r>
      <w:r>
        <w:t>'s personal data.</w:t>
      </w:r>
    </w:p>
    <w:p w14:paraId="1DD1406B" w14:textId="53F66136" w:rsidR="005015E1" w:rsidRDefault="005015E1" w:rsidP="005015E1">
      <w:pPr>
        <w:pStyle w:val="NormalParagraph"/>
        <w:numPr>
          <w:ilvl w:val="0"/>
          <w:numId w:val="22"/>
        </w:numPr>
      </w:pPr>
      <w:r>
        <w:t xml:space="preserve">The Operator validates the request and confirms if the </w:t>
      </w:r>
      <w:r>
        <w:rPr>
          <w:lang w:eastAsia="en-US"/>
        </w:rPr>
        <w:t>SP</w:t>
      </w:r>
      <w:r>
        <w:t xml:space="preserve"> has registered for </w:t>
      </w:r>
      <w:r w:rsidR="00FD1375">
        <w:t>Mobile Connect</w:t>
      </w:r>
      <w:r>
        <w:t xml:space="preserve"> ATP in accordance with the Operator’s ID GW policy. In the event of an error</w:t>
      </w:r>
      <w:r w:rsidR="00BE7EA7">
        <w:t>,</w:t>
      </w:r>
      <w:r>
        <w:t xml:space="preserve"> the request is terminated, and an error response is returned to the SP Server.</w:t>
      </w:r>
    </w:p>
    <w:p w14:paraId="7FA0FEF7" w14:textId="77777777" w:rsidR="005015E1" w:rsidRDefault="005015E1" w:rsidP="005015E1">
      <w:pPr>
        <w:pStyle w:val="NormalParagraph"/>
        <w:numPr>
          <w:ilvl w:val="0"/>
          <w:numId w:val="22"/>
        </w:numPr>
      </w:pPr>
      <w:r>
        <w:t>Assuming the request is valid, the Operator processes the request and returns an ID Token (security token), an Access Token which is used to retrieve the requested attributes (as specified in this document) from the relevant Resource Endpoint.</w:t>
      </w:r>
    </w:p>
    <w:p w14:paraId="5E624F7A" w14:textId="19D2CD7E" w:rsidR="005015E1" w:rsidRPr="00E74812" w:rsidRDefault="005015E1" w:rsidP="005015E1">
      <w:pPr>
        <w:pStyle w:val="NormalParagraph"/>
        <w:numPr>
          <w:ilvl w:val="0"/>
          <w:numId w:val="22"/>
        </w:numPr>
      </w:pPr>
      <w:r w:rsidRPr="00E74812">
        <w:fldChar w:fldCharType="begin"/>
      </w:r>
      <w:r w:rsidRPr="00E74812">
        <w:instrText xml:space="preserve"> REF _Ref528078889 \r \h </w:instrText>
      </w:r>
      <w:r>
        <w:instrText xml:space="preserve"> \* MERGEFORMAT </w:instrText>
      </w:r>
      <w:r w:rsidRPr="00E74812">
        <w:fldChar w:fldCharType="separate"/>
      </w:r>
      <w:r w:rsidR="00847406">
        <w:t>Figure 1</w:t>
      </w:r>
      <w:r w:rsidRPr="00E74812">
        <w:fldChar w:fldCharType="end"/>
      </w:r>
      <w:r w:rsidRPr="00E74812">
        <w:t xml:space="preserve"> </w:t>
      </w:r>
      <w:r>
        <w:t>for completeness includes a consent flow whereby the ID GW</w:t>
      </w:r>
      <w:r w:rsidRPr="00E74812">
        <w:t xml:space="preserve"> seek</w:t>
      </w:r>
      <w:r>
        <w:t>s</w:t>
      </w:r>
      <w:r w:rsidRPr="00E74812">
        <w:t xml:space="preserve"> User consent </w:t>
      </w:r>
      <w:r>
        <w:t xml:space="preserve">for sharing the ATP information </w:t>
      </w:r>
      <w:r w:rsidRPr="00E74812">
        <w:t xml:space="preserve">via the User’s mobile device (Authentication Device). </w:t>
      </w:r>
      <w:r>
        <w:t xml:space="preserve"> Note though that such transactional-based consent is not recommended for the </w:t>
      </w:r>
      <w:r w:rsidR="00FD1375">
        <w:t>Mobile Connect</w:t>
      </w:r>
      <w:r>
        <w:t xml:space="preserve"> ATP service – more discussion on the legal options for acquiring </w:t>
      </w:r>
      <w:r w:rsidR="0080390F">
        <w:t>User</w:t>
      </w:r>
      <w:r>
        <w:t xml:space="preserve"> consent can be found in section </w:t>
      </w:r>
      <w:fldSimple w:instr=" REF _Ref464660580 \r ">
        <w:r w:rsidR="00847406">
          <w:t>3.1</w:t>
        </w:r>
      </w:fldSimple>
      <w:r>
        <w:t xml:space="preserve"> and </w:t>
      </w:r>
      <w:r w:rsidRPr="00DA60CB">
        <w:t>GSMA Regulatory considerations for processing personal data and attributes for Mobile Connect</w:t>
      </w:r>
    </w:p>
    <w:p w14:paraId="7C8FDDFF" w14:textId="1410906C" w:rsidR="005015E1" w:rsidRDefault="005015E1" w:rsidP="005015E1">
      <w:pPr>
        <w:pStyle w:val="NormalParagraph"/>
        <w:numPr>
          <w:ilvl w:val="1"/>
          <w:numId w:val="22"/>
        </w:numPr>
      </w:pPr>
      <w:r>
        <w:t xml:space="preserve">If consent is requested by the ID GW and not given, or the Operator has insufficient proof that </w:t>
      </w:r>
      <w:r w:rsidR="0080390F">
        <w:t>User</w:t>
      </w:r>
      <w:r>
        <w:t xml:space="preserve"> consent has been captured by the SP, then an error message should be generated and returned to the SP instead of the Tokens.</w:t>
      </w:r>
    </w:p>
    <w:p w14:paraId="3644884F" w14:textId="011EF833" w:rsidR="005015E1" w:rsidRDefault="005015E1" w:rsidP="005015E1">
      <w:pPr>
        <w:pStyle w:val="NormalParagraph"/>
        <w:numPr>
          <w:ilvl w:val="0"/>
          <w:numId w:val="22"/>
        </w:numPr>
      </w:pPr>
      <w:r>
        <w:t xml:space="preserve">In Server-Initiated mode, the SP can retrieve the ID Token and Access Token in one of two ways depending on what is supported by the ID GW in the server-initiated mode: using notification where the Tokens are sent to the SP’s specified Notification Endpoint or by the SP polling the ID GW Polling Endpoint until a full response is obtained. Further details are provided in the Mobile Connect Server-Initiated </w:t>
      </w:r>
      <w:proofErr w:type="spellStart"/>
      <w:r>
        <w:t>OIDC</w:t>
      </w:r>
      <w:proofErr w:type="spellEnd"/>
      <w:r>
        <w:t xml:space="preserve"> Profile specification </w:t>
      </w:r>
      <w:r>
        <w:fldChar w:fldCharType="begin"/>
      </w:r>
      <w:r>
        <w:instrText xml:space="preserve"> REF _Ref528056728 \r \h </w:instrText>
      </w:r>
      <w:r>
        <w:fldChar w:fldCharType="separate"/>
      </w:r>
      <w:r w:rsidR="00847406">
        <w:t>[7]</w:t>
      </w:r>
      <w:r>
        <w:fldChar w:fldCharType="end"/>
      </w:r>
      <w:r>
        <w:t>.</w:t>
      </w:r>
    </w:p>
    <w:p w14:paraId="7E2DFE29" w14:textId="77777777" w:rsidR="005015E1" w:rsidRDefault="005015E1" w:rsidP="005015E1">
      <w:pPr>
        <w:pStyle w:val="NormalParagraph"/>
        <w:numPr>
          <w:ilvl w:val="0"/>
          <w:numId w:val="22"/>
        </w:numPr>
      </w:pPr>
      <w:r>
        <w:t xml:space="preserve">Assuming the request was successful, the SP receives the ID Token and Access Token and then uses the Access Token to make a Resource Request to the applicable Resource Endpoint </w:t>
      </w:r>
      <w:proofErr w:type="gramStart"/>
      <w:r>
        <w:t>in order to</w:t>
      </w:r>
      <w:proofErr w:type="gramEnd"/>
      <w:r>
        <w:t xml:space="preserve"> obtain the requested information.</w:t>
      </w:r>
    </w:p>
    <w:p w14:paraId="457C6554" w14:textId="77777777" w:rsidR="005015E1" w:rsidRDefault="005015E1" w:rsidP="005015E1">
      <w:pPr>
        <w:pStyle w:val="Heading2"/>
      </w:pPr>
      <w:bookmarkStart w:id="81" w:name="_Ref464660580"/>
      <w:bookmarkStart w:id="82" w:name="_Ref464660634"/>
      <w:bookmarkStart w:id="83" w:name="_Toc466283457"/>
      <w:bookmarkStart w:id="84" w:name="_Toc492978874"/>
      <w:bookmarkStart w:id="85" w:name="_Toc119425897"/>
      <w:bookmarkStart w:id="86" w:name="_Toc121260645"/>
      <w:bookmarkEnd w:id="78"/>
      <w:r w:rsidRPr="00466030">
        <w:lastRenderedPageBreak/>
        <w:t xml:space="preserve">Considerations for Lawful Handling of </w:t>
      </w:r>
      <w:r>
        <w:t>User</w:t>
      </w:r>
      <w:r w:rsidRPr="00466030">
        <w:t xml:space="preserve"> Data</w:t>
      </w:r>
      <w:bookmarkEnd w:id="81"/>
      <w:bookmarkEnd w:id="82"/>
      <w:bookmarkEnd w:id="83"/>
      <w:bookmarkEnd w:id="84"/>
      <w:bookmarkEnd w:id="85"/>
      <w:bookmarkEnd w:id="86"/>
    </w:p>
    <w:p w14:paraId="504819DC" w14:textId="28FC07FD" w:rsidR="005015E1" w:rsidRDefault="005015E1" w:rsidP="005015E1">
      <w:pPr>
        <w:pStyle w:val="NormalParagraph"/>
        <w:rPr>
          <w:rFonts w:cs="Arial"/>
        </w:rPr>
      </w:pPr>
      <w:r>
        <w:rPr>
          <w:rFonts w:cs="Arial"/>
        </w:rPr>
        <w:t xml:space="preserve">Operators may be subject to general data protection laws and telecom specific rules that place conditions and obligations on the use of customer information. Attributes held by Operators may fall into several legal categories of regulated and protected data.  </w:t>
      </w:r>
      <w:r w:rsidR="003E04A9">
        <w:rPr>
          <w:rFonts w:cs="Arial"/>
        </w:rPr>
        <w:t>SP</w:t>
      </w:r>
      <w:r>
        <w:rPr>
          <w:rFonts w:cs="Arial"/>
        </w:rPr>
        <w:t>s will also be subject to some of these obligations and must not use the data obtained from a Mobile Connect service request for anything other than the stated purpose.</w:t>
      </w:r>
    </w:p>
    <w:p w14:paraId="7914FEA9" w14:textId="3F39CD65" w:rsidR="005015E1" w:rsidRPr="004233D6" w:rsidRDefault="005015E1" w:rsidP="005015E1">
      <w:pPr>
        <w:pStyle w:val="NormalParagraph"/>
        <w:rPr>
          <w:lang w:eastAsia="en-US" w:bidi="bn-BD"/>
        </w:rPr>
      </w:pPr>
      <w:r>
        <w:rPr>
          <w:rFonts w:cs="Arial"/>
        </w:rPr>
        <w:t xml:space="preserve">Operators are recommended to perform due diligence that a </w:t>
      </w:r>
      <w:r w:rsidR="008015BB">
        <w:rPr>
          <w:rFonts w:cs="Arial"/>
        </w:rPr>
        <w:t>SPs</w:t>
      </w:r>
      <w:r>
        <w:rPr>
          <w:rFonts w:cs="Arial"/>
        </w:rPr>
        <w:t xml:space="preserve"> processes are suitable to meet these obligations and that those obligations are clear within the contract between the Operator and the </w:t>
      </w:r>
      <w:r w:rsidR="008015BB">
        <w:rPr>
          <w:rFonts w:cs="Arial"/>
        </w:rPr>
        <w:t>SP</w:t>
      </w:r>
      <w:r>
        <w:rPr>
          <w:rFonts w:cs="Arial"/>
        </w:rPr>
        <w:t xml:space="preserve">. </w:t>
      </w:r>
      <w:r>
        <w:t xml:space="preserve">This is discussed in more detail in the Mobile Connect Product Manager’s Lifecycle Handbook </w:t>
      </w:r>
      <w:r>
        <w:fldChar w:fldCharType="begin"/>
      </w:r>
      <w:r>
        <w:instrText xml:space="preserve"> REF _Ref528130937 \r \h </w:instrText>
      </w:r>
      <w:r>
        <w:fldChar w:fldCharType="separate"/>
      </w:r>
      <w:r w:rsidR="00847406">
        <w:t>[9]</w:t>
      </w:r>
      <w:r>
        <w:fldChar w:fldCharType="end"/>
      </w:r>
      <w:r>
        <w:t>.</w:t>
      </w:r>
    </w:p>
    <w:p w14:paraId="6A8C6453" w14:textId="666E1975" w:rsidR="008015BB" w:rsidRDefault="005015E1" w:rsidP="005015E1">
      <w:pPr>
        <w:pStyle w:val="NormalParagraph"/>
        <w:rPr>
          <w:lang w:val="en-US"/>
        </w:rPr>
      </w:pPr>
      <w:r>
        <w:rPr>
          <w:lang w:val="en-US"/>
        </w:rPr>
        <w:t xml:space="preserve">Consent from the </w:t>
      </w:r>
      <w:r w:rsidR="0080390F">
        <w:rPr>
          <w:lang w:val="en-US"/>
        </w:rPr>
        <w:t>User</w:t>
      </w:r>
      <w:r>
        <w:rPr>
          <w:lang w:val="en-US"/>
        </w:rPr>
        <w:t xml:space="preserve"> for the sharing of the ATP information may be captured either by the SP or the </w:t>
      </w:r>
      <w:r w:rsidR="0080390F">
        <w:rPr>
          <w:lang w:val="en-US"/>
        </w:rPr>
        <w:t>User</w:t>
      </w:r>
      <w:r>
        <w:rPr>
          <w:lang w:val="en-US"/>
        </w:rPr>
        <w:t xml:space="preserve">’s Operator, and either as part of a transaction or separately through another business process.  </w:t>
      </w:r>
    </w:p>
    <w:p w14:paraId="357A8F42" w14:textId="72F77BEA" w:rsidR="005015E1" w:rsidRDefault="005015E1" w:rsidP="00BB0606">
      <w:pPr>
        <w:pStyle w:val="NOTE"/>
      </w:pPr>
      <w:r>
        <w:rPr>
          <w:lang w:val="en-US"/>
        </w:rPr>
        <w:t>Note</w:t>
      </w:r>
      <w:r w:rsidR="008015BB">
        <w:rPr>
          <w:lang w:val="en-US"/>
        </w:rPr>
        <w:t>:</w:t>
      </w:r>
      <w:r w:rsidR="008015BB">
        <w:rPr>
          <w:lang w:val="en-US"/>
        </w:rPr>
        <w:tab/>
        <w:t>T</w:t>
      </w:r>
      <w:r>
        <w:rPr>
          <w:lang w:val="en-US"/>
        </w:rPr>
        <w:t xml:space="preserve">hough that capturing consent within the transaction will alert the fraudster that the SP is using ATP checks thereby </w:t>
      </w:r>
      <w:r>
        <w:t xml:space="preserve">reducing the effectiveness of this service in combating fraud – it is therefore recommended that consent is captured from the </w:t>
      </w:r>
      <w:r w:rsidR="0080390F">
        <w:t>User</w:t>
      </w:r>
      <w:r>
        <w:t xml:space="preserve"> as a part of a separate business process.</w:t>
      </w:r>
    </w:p>
    <w:p w14:paraId="7AB1E5F5" w14:textId="5A022DE3" w:rsidR="005015E1" w:rsidRDefault="005015E1" w:rsidP="00BB0606">
      <w:pPr>
        <w:pStyle w:val="NormalParagraph"/>
        <w:rPr>
          <w:rFonts w:eastAsia="Times New Roman" w:cs="Arial"/>
          <w:b/>
          <w:bCs/>
          <w:sz w:val="28"/>
          <w:szCs w:val="32"/>
          <w:lang w:eastAsia="en-US"/>
        </w:rPr>
      </w:pPr>
      <w:r w:rsidRPr="005A629E">
        <w:rPr>
          <w:lang w:val="en-US"/>
        </w:rPr>
        <w:t>'GSMA Regulatory considerations for processing personal data and attributes for Mobile Connect'</w:t>
      </w:r>
      <w:r>
        <w:rPr>
          <w:lang w:val="en-US"/>
        </w:rPr>
        <w:t xml:space="preserve"> provides more discussion on the legal basis for providing services such as Mobile Connect ATP</w:t>
      </w:r>
      <w:r w:rsidRPr="005A629E">
        <w:rPr>
          <w:lang w:val="en-US"/>
        </w:rPr>
        <w:t>.</w:t>
      </w:r>
      <w:r>
        <w:rPr>
          <w:lang w:val="en-US"/>
        </w:rPr>
        <w:t xml:space="preserve">  The </w:t>
      </w:r>
      <w:r w:rsidRPr="00C1264A">
        <w:rPr>
          <w:lang w:val="en-US"/>
        </w:rPr>
        <w:t xml:space="preserve">Mobile Connect privacy principles </w:t>
      </w:r>
      <w:r>
        <w:rPr>
          <w:lang w:val="en-US"/>
        </w:rPr>
        <w:t xml:space="preserve">should also be consulted. </w:t>
      </w:r>
    </w:p>
    <w:p w14:paraId="15CFF180" w14:textId="77777777" w:rsidR="005015E1" w:rsidRDefault="005015E1" w:rsidP="005015E1">
      <w:pPr>
        <w:pStyle w:val="Heading1"/>
      </w:pPr>
      <w:bookmarkStart w:id="87" w:name="_Toc119425898"/>
      <w:bookmarkStart w:id="88" w:name="_Toc121260646"/>
      <w:r>
        <w:t>Account Takeover Protection Service Specification</w:t>
      </w:r>
      <w:bookmarkEnd w:id="87"/>
      <w:bookmarkEnd w:id="88"/>
    </w:p>
    <w:p w14:paraId="65707AF6" w14:textId="20A74638" w:rsidR="005015E1" w:rsidRDefault="005015E1" w:rsidP="005015E1">
      <w:pPr>
        <w:pStyle w:val="NormalParagraph"/>
        <w:rPr>
          <w:lang w:eastAsia="en-US" w:bidi="bn-BD"/>
        </w:rPr>
      </w:pPr>
      <w:r>
        <w:rPr>
          <w:lang w:eastAsia="en-US" w:bidi="bn-BD"/>
        </w:rPr>
        <w:t xml:space="preserve">This </w:t>
      </w:r>
      <w:r w:rsidR="008015BB">
        <w:rPr>
          <w:lang w:eastAsia="en-US" w:bidi="bn-BD"/>
        </w:rPr>
        <w:t>s</w:t>
      </w:r>
      <w:r>
        <w:rPr>
          <w:lang w:eastAsia="en-US" w:bidi="bn-BD"/>
        </w:rPr>
        <w:t>ection is normative and contains the relevant information required by Operators to implement and support the Mobile Connect Account Takeover Protection service.</w:t>
      </w:r>
    </w:p>
    <w:p w14:paraId="272A29CD" w14:textId="77777777" w:rsidR="005015E1" w:rsidRDefault="005015E1" w:rsidP="005015E1">
      <w:pPr>
        <w:pStyle w:val="Heading2"/>
      </w:pPr>
      <w:bookmarkStart w:id="89" w:name="_Toc119425899"/>
      <w:bookmarkStart w:id="90" w:name="_Toc121260647"/>
      <w:proofErr w:type="spellStart"/>
      <w:r>
        <w:t>OIDC</w:t>
      </w:r>
      <w:proofErr w:type="spellEnd"/>
      <w:r>
        <w:t xml:space="preserve"> Authorization Request Parameters - </w:t>
      </w:r>
      <w:r w:rsidRPr="0080294D">
        <w:rPr>
          <w:rFonts w:ascii="Courier New" w:hAnsi="Courier New"/>
        </w:rPr>
        <w:t>scope</w:t>
      </w:r>
      <w:bookmarkEnd w:id="89"/>
      <w:bookmarkEnd w:id="90"/>
    </w:p>
    <w:p w14:paraId="17926FAC" w14:textId="77777777" w:rsidR="005015E1" w:rsidRDefault="005015E1" w:rsidP="005015E1">
      <w:pPr>
        <w:pStyle w:val="NormalParagraph"/>
      </w:pPr>
      <w:r>
        <w:t xml:space="preserve">The Mobile Connect ATP service is requested by including within the </w:t>
      </w:r>
      <w:r w:rsidRPr="0080294D">
        <w:rPr>
          <w:rFonts w:ascii="Courier New" w:hAnsi="Courier New"/>
        </w:rPr>
        <w:t>scope</w:t>
      </w:r>
      <w:r>
        <w:t xml:space="preserve"> parameter in the Mobile Connect request (</w:t>
      </w:r>
      <w:proofErr w:type="spellStart"/>
      <w:r>
        <w:t>OIDC</w:t>
      </w:r>
      <w:proofErr w:type="spellEnd"/>
      <w:r>
        <w:t xml:space="preserve"> Authorization Request) the value shown in Table 2.</w:t>
      </w:r>
    </w:p>
    <w:tbl>
      <w:tblPr>
        <w:tblStyle w:val="TableGrid"/>
        <w:tblW w:w="9213" w:type="dxa"/>
        <w:jc w:val="center"/>
        <w:tblLook w:val="04A0" w:firstRow="1" w:lastRow="0" w:firstColumn="1" w:lastColumn="0" w:noHBand="0" w:noVBand="1"/>
      </w:tblPr>
      <w:tblGrid>
        <w:gridCol w:w="3445"/>
        <w:gridCol w:w="5768"/>
      </w:tblGrid>
      <w:tr w:rsidR="005015E1" w:rsidRPr="004B2D20" w14:paraId="7FC81B7A" w14:textId="77777777" w:rsidTr="002B38A5">
        <w:trPr>
          <w:jc w:val="center"/>
        </w:trPr>
        <w:tc>
          <w:tcPr>
            <w:tcW w:w="3445" w:type="dxa"/>
            <w:shd w:val="clear" w:color="auto" w:fill="DE002B"/>
          </w:tcPr>
          <w:p w14:paraId="67D2D6EC" w14:textId="77777777" w:rsidR="005015E1" w:rsidRPr="004B2D20" w:rsidRDefault="005015E1" w:rsidP="00BE7EA7">
            <w:pPr>
              <w:pStyle w:val="NormalParagraph"/>
              <w:spacing w:before="40" w:after="40" w:line="240" w:lineRule="auto"/>
              <w:rPr>
                <w:rFonts w:cs="Arial"/>
                <w:b/>
                <w:color w:val="FFFFFF" w:themeColor="background1"/>
                <w:szCs w:val="20"/>
                <w:lang w:eastAsia="en-US" w:bidi="bn-BD"/>
              </w:rPr>
            </w:pPr>
            <w:r w:rsidRPr="004B2D20">
              <w:rPr>
                <w:rFonts w:cs="Arial"/>
                <w:b/>
                <w:color w:val="FFFFFF" w:themeColor="background1"/>
                <w:szCs w:val="20"/>
                <w:lang w:eastAsia="en-US" w:bidi="bn-BD"/>
              </w:rPr>
              <w:t xml:space="preserve">Mobile Connect </w:t>
            </w:r>
            <w:r>
              <w:rPr>
                <w:rFonts w:cs="Arial"/>
                <w:b/>
                <w:color w:val="FFFFFF" w:themeColor="background1"/>
                <w:szCs w:val="20"/>
                <w:lang w:eastAsia="en-US" w:bidi="bn-BD"/>
              </w:rPr>
              <w:t>Service</w:t>
            </w:r>
          </w:p>
        </w:tc>
        <w:tc>
          <w:tcPr>
            <w:tcW w:w="5768" w:type="dxa"/>
            <w:shd w:val="clear" w:color="auto" w:fill="DE002B"/>
          </w:tcPr>
          <w:p w14:paraId="1E8C19D7" w14:textId="77777777" w:rsidR="005015E1" w:rsidRPr="004B2D20" w:rsidRDefault="005015E1" w:rsidP="00BE7EA7">
            <w:pPr>
              <w:pStyle w:val="NormalParagraph"/>
              <w:spacing w:before="40" w:after="40" w:line="240" w:lineRule="auto"/>
              <w:rPr>
                <w:rFonts w:cs="Arial"/>
                <w:b/>
                <w:color w:val="FFFFFF" w:themeColor="background1"/>
                <w:szCs w:val="20"/>
                <w:lang w:eastAsia="en-US" w:bidi="bn-BD"/>
              </w:rPr>
            </w:pPr>
            <w:r>
              <w:rPr>
                <w:rFonts w:cs="Arial"/>
                <w:b/>
                <w:color w:val="FFFFFF" w:themeColor="background1"/>
                <w:szCs w:val="20"/>
                <w:lang w:eastAsia="en-US" w:bidi="bn-BD"/>
              </w:rPr>
              <w:t>Scope</w:t>
            </w:r>
          </w:p>
        </w:tc>
      </w:tr>
      <w:tr w:rsidR="005015E1" w:rsidRPr="004B2D20" w14:paraId="2C5FFF2D" w14:textId="77777777" w:rsidTr="002B38A5">
        <w:trPr>
          <w:trHeight w:val="199"/>
          <w:jc w:val="center"/>
        </w:trPr>
        <w:tc>
          <w:tcPr>
            <w:tcW w:w="3445" w:type="dxa"/>
            <w:shd w:val="clear" w:color="auto" w:fill="auto"/>
          </w:tcPr>
          <w:p w14:paraId="3AD31760" w14:textId="77777777" w:rsidR="005015E1" w:rsidRPr="004B2D20" w:rsidRDefault="005015E1" w:rsidP="00BE7EA7">
            <w:pPr>
              <w:pStyle w:val="ListBullet1"/>
              <w:numPr>
                <w:ilvl w:val="0"/>
                <w:numId w:val="0"/>
              </w:numPr>
              <w:spacing w:before="40" w:after="40" w:line="240" w:lineRule="auto"/>
              <w:rPr>
                <w:rFonts w:cs="Arial"/>
                <w:sz w:val="20"/>
                <w:szCs w:val="20"/>
              </w:rPr>
            </w:pPr>
            <w:r w:rsidRPr="004B2D20">
              <w:rPr>
                <w:rFonts w:cs="Arial"/>
                <w:sz w:val="20"/>
                <w:szCs w:val="20"/>
              </w:rPr>
              <w:t xml:space="preserve">Mobile Connect ATP </w:t>
            </w:r>
          </w:p>
        </w:tc>
        <w:tc>
          <w:tcPr>
            <w:tcW w:w="5768" w:type="dxa"/>
          </w:tcPr>
          <w:p w14:paraId="4F3481AF" w14:textId="77777777" w:rsidR="005015E1" w:rsidRPr="004B2D20" w:rsidRDefault="005015E1" w:rsidP="00BE7EA7">
            <w:pPr>
              <w:pStyle w:val="ListBullet1"/>
              <w:numPr>
                <w:ilvl w:val="0"/>
                <w:numId w:val="0"/>
              </w:numPr>
              <w:spacing w:before="40" w:after="40" w:line="240" w:lineRule="auto"/>
              <w:rPr>
                <w:rFonts w:ascii="Courier New" w:hAnsi="Courier New" w:cs="Courier New"/>
                <w:sz w:val="20"/>
                <w:szCs w:val="20"/>
              </w:rPr>
            </w:pPr>
            <w:r w:rsidRPr="004B2D20">
              <w:rPr>
                <w:rFonts w:ascii="Courier New" w:hAnsi="Courier New" w:cs="Courier New"/>
                <w:sz w:val="20"/>
                <w:szCs w:val="20"/>
              </w:rPr>
              <w:t>“</w:t>
            </w:r>
            <w:proofErr w:type="spellStart"/>
            <w:proofErr w:type="gramStart"/>
            <w:r w:rsidRPr="004B2D20">
              <w:rPr>
                <w:rFonts w:ascii="Courier New" w:hAnsi="Courier New" w:cs="Courier New"/>
                <w:sz w:val="20"/>
                <w:szCs w:val="20"/>
              </w:rPr>
              <w:t>openid</w:t>
            </w:r>
            <w:proofErr w:type="spellEnd"/>
            <w:proofErr w:type="gramEnd"/>
            <w:r w:rsidRPr="004B2D20">
              <w:rPr>
                <w:rFonts w:ascii="Courier New" w:hAnsi="Courier New" w:cs="Courier New"/>
                <w:sz w:val="20"/>
                <w:szCs w:val="20"/>
              </w:rPr>
              <w:t xml:space="preserve"> </w:t>
            </w:r>
            <w:proofErr w:type="spellStart"/>
            <w:r w:rsidRPr="004B2D20">
              <w:rPr>
                <w:rFonts w:ascii="Courier New" w:hAnsi="Courier New" w:cs="Courier New"/>
                <w:sz w:val="20"/>
                <w:szCs w:val="20"/>
              </w:rPr>
              <w:t>mc_atp</w:t>
            </w:r>
            <w:proofErr w:type="spellEnd"/>
            <w:r w:rsidRPr="004B2D20">
              <w:rPr>
                <w:rFonts w:ascii="Courier New" w:hAnsi="Courier New" w:cs="Courier New"/>
                <w:sz w:val="20"/>
                <w:szCs w:val="20"/>
              </w:rPr>
              <w:t>”</w:t>
            </w:r>
          </w:p>
        </w:tc>
      </w:tr>
    </w:tbl>
    <w:p w14:paraId="79CD2AB3" w14:textId="77777777" w:rsidR="005015E1" w:rsidRDefault="005015E1" w:rsidP="005015E1">
      <w:pPr>
        <w:pStyle w:val="TableCaption"/>
        <w:numPr>
          <w:ilvl w:val="0"/>
          <w:numId w:val="1"/>
        </w:numPr>
      </w:pPr>
      <w:bookmarkStart w:id="91" w:name="_Ref528131469"/>
      <w:r w:rsidRPr="004B2D20">
        <w:t xml:space="preserve">: Mobile Connect ATP </w:t>
      </w:r>
      <w:r w:rsidRPr="0080294D">
        <w:rPr>
          <w:rFonts w:ascii="Courier New" w:hAnsi="Courier New"/>
        </w:rPr>
        <w:t>scope</w:t>
      </w:r>
      <w:r>
        <w:t xml:space="preserve"> Value</w:t>
      </w:r>
      <w:bookmarkEnd w:id="91"/>
    </w:p>
    <w:p w14:paraId="4EEC0E8F" w14:textId="77777777" w:rsidR="005015E1" w:rsidRDefault="005015E1" w:rsidP="005015E1">
      <w:pPr>
        <w:pStyle w:val="Heading2"/>
      </w:pPr>
      <w:bookmarkStart w:id="92" w:name="_Toc525379911"/>
      <w:bookmarkStart w:id="93" w:name="_Toc119425900"/>
      <w:bookmarkStart w:id="94" w:name="_Toc121260648"/>
      <w:r>
        <w:t>API Modes Supported</w:t>
      </w:r>
      <w:bookmarkEnd w:id="92"/>
      <w:bookmarkEnd w:id="93"/>
      <w:bookmarkEnd w:id="94"/>
    </w:p>
    <w:p w14:paraId="50F775C4" w14:textId="6058F993" w:rsidR="005015E1" w:rsidRPr="004B2D20" w:rsidRDefault="005015E1" w:rsidP="005015E1">
      <w:pPr>
        <w:pStyle w:val="NormalParagraph"/>
      </w:pPr>
      <w:r>
        <w:rPr>
          <w:lang w:eastAsia="en-US" w:bidi="bn-BD"/>
        </w:rPr>
        <w:t xml:space="preserve">The Mobile Connect ATP service is </w:t>
      </w:r>
      <w:r w:rsidRPr="000C14DC">
        <w:rPr>
          <w:lang w:eastAsia="en-US" w:bidi="bn-BD"/>
        </w:rPr>
        <w:t>recommended to be supported in Server-</w:t>
      </w:r>
      <w:r>
        <w:rPr>
          <w:lang w:eastAsia="en-US" w:bidi="bn-BD"/>
        </w:rPr>
        <w:t>Initiated Mode [</w:t>
      </w:r>
      <w:r>
        <w:rPr>
          <w:lang w:eastAsia="en-US"/>
        </w:rPr>
        <w:fldChar w:fldCharType="begin"/>
      </w:r>
      <w:r>
        <w:rPr>
          <w:lang w:eastAsia="en-US" w:bidi="bn-BD"/>
        </w:rPr>
        <w:instrText xml:space="preserve"> REF _Ref528056728 \r \h </w:instrText>
      </w:r>
      <w:r>
        <w:rPr>
          <w:lang w:eastAsia="en-US"/>
        </w:rPr>
      </w:r>
      <w:r>
        <w:rPr>
          <w:lang w:eastAsia="en-US"/>
        </w:rPr>
        <w:fldChar w:fldCharType="separate"/>
      </w:r>
      <w:r w:rsidR="00847406">
        <w:rPr>
          <w:lang w:eastAsia="en-US" w:bidi="bn-BD"/>
        </w:rPr>
        <w:t>[7]</w:t>
      </w:r>
      <w:r>
        <w:rPr>
          <w:lang w:eastAsia="en-US"/>
        </w:rPr>
        <w:fldChar w:fldCharType="end"/>
      </w:r>
      <w:r>
        <w:rPr>
          <w:lang w:eastAsia="en-US" w:bidi="bn-BD"/>
        </w:rPr>
        <w:t xml:space="preserve">; </w:t>
      </w:r>
      <w:bookmarkStart w:id="95" w:name="_Ref524624396"/>
      <w:r w:rsidRPr="004B2D20">
        <w:t>Attribute Set</w:t>
      </w:r>
      <w:bookmarkEnd w:id="95"/>
      <w:r w:rsidR="008015BB">
        <w:t>.</w:t>
      </w:r>
    </w:p>
    <w:p w14:paraId="406DB6AC" w14:textId="42B584BA" w:rsidR="005015E1" w:rsidRPr="004B2D20" w:rsidRDefault="005015E1" w:rsidP="005015E1">
      <w:pPr>
        <w:pStyle w:val="NormalParagraph"/>
      </w:pPr>
      <w:r>
        <w:fldChar w:fldCharType="begin"/>
      </w:r>
      <w:r>
        <w:instrText xml:space="preserve"> REF _Ref525563967 \r \h </w:instrText>
      </w:r>
      <w:r>
        <w:fldChar w:fldCharType="separate"/>
      </w:r>
      <w:r w:rsidR="00847406">
        <w:t>Table 3</w:t>
      </w:r>
      <w:r>
        <w:fldChar w:fldCharType="end"/>
      </w:r>
      <w:r>
        <w:t xml:space="preserve"> shows the </w:t>
      </w:r>
      <w:r w:rsidRPr="004B2D20">
        <w:t xml:space="preserve">attribute set </w:t>
      </w:r>
      <w:r>
        <w:t>returned by</w:t>
      </w:r>
      <w:r w:rsidRPr="004B2D20">
        <w:t xml:space="preserve"> the </w:t>
      </w:r>
      <w:r>
        <w:t>Mobile Connect ATP service</w:t>
      </w:r>
      <w:r w:rsidR="008015BB">
        <w:t>.</w:t>
      </w:r>
    </w:p>
    <w:tbl>
      <w:tblPr>
        <w:tblStyle w:val="TableGrid"/>
        <w:tblW w:w="9067" w:type="dxa"/>
        <w:jc w:val="center"/>
        <w:tblLayout w:type="fixed"/>
        <w:tblLook w:val="04A0" w:firstRow="1" w:lastRow="0" w:firstColumn="1" w:lastColumn="0" w:noHBand="0" w:noVBand="1"/>
      </w:tblPr>
      <w:tblGrid>
        <w:gridCol w:w="2131"/>
        <w:gridCol w:w="1922"/>
        <w:gridCol w:w="5014"/>
      </w:tblGrid>
      <w:tr w:rsidR="005015E1" w:rsidRPr="004B2D20" w14:paraId="045DC314" w14:textId="77777777" w:rsidTr="002B38A5">
        <w:trPr>
          <w:tblHeader/>
          <w:jc w:val="center"/>
        </w:trPr>
        <w:tc>
          <w:tcPr>
            <w:tcW w:w="2131" w:type="dxa"/>
            <w:shd w:val="clear" w:color="auto" w:fill="DE002B"/>
          </w:tcPr>
          <w:p w14:paraId="4C05AF7D" w14:textId="77777777" w:rsidR="005015E1" w:rsidRPr="004B2D20" w:rsidRDefault="005015E1" w:rsidP="00BE7EA7">
            <w:pPr>
              <w:pStyle w:val="NormalParagraph"/>
              <w:spacing w:before="40" w:after="40" w:line="240" w:lineRule="auto"/>
              <w:jc w:val="center"/>
              <w:rPr>
                <w:b/>
                <w:color w:val="FFFFFF" w:themeColor="background1"/>
              </w:rPr>
            </w:pPr>
            <w:r w:rsidRPr="004B2D20">
              <w:rPr>
                <w:b/>
                <w:color w:val="FFFFFF" w:themeColor="background1"/>
              </w:rPr>
              <w:t>Attribute Name</w:t>
            </w:r>
          </w:p>
        </w:tc>
        <w:tc>
          <w:tcPr>
            <w:tcW w:w="1922" w:type="dxa"/>
            <w:shd w:val="clear" w:color="auto" w:fill="DE002B"/>
          </w:tcPr>
          <w:p w14:paraId="112A216F" w14:textId="77777777" w:rsidR="005015E1" w:rsidRPr="004B2D20" w:rsidRDefault="005015E1" w:rsidP="00BE7EA7">
            <w:pPr>
              <w:pStyle w:val="NormalParagraph"/>
              <w:spacing w:before="40" w:after="40" w:line="240" w:lineRule="auto"/>
              <w:jc w:val="center"/>
              <w:rPr>
                <w:b/>
                <w:color w:val="FFFFFF" w:themeColor="background1"/>
              </w:rPr>
            </w:pPr>
            <w:r w:rsidRPr="004B2D20">
              <w:rPr>
                <w:b/>
                <w:color w:val="FFFFFF" w:themeColor="background1"/>
              </w:rPr>
              <w:t>Usage Category</w:t>
            </w:r>
          </w:p>
        </w:tc>
        <w:tc>
          <w:tcPr>
            <w:tcW w:w="5014" w:type="dxa"/>
            <w:shd w:val="clear" w:color="auto" w:fill="DE002B"/>
          </w:tcPr>
          <w:p w14:paraId="18515CB1" w14:textId="77777777" w:rsidR="005015E1" w:rsidRPr="004B2D20" w:rsidRDefault="005015E1" w:rsidP="00BE7EA7">
            <w:pPr>
              <w:pStyle w:val="NormalParagraph"/>
              <w:spacing w:before="40" w:after="40" w:line="240" w:lineRule="auto"/>
              <w:jc w:val="center"/>
              <w:rPr>
                <w:b/>
                <w:color w:val="FFFFFF" w:themeColor="background1"/>
              </w:rPr>
            </w:pPr>
            <w:r w:rsidRPr="004B2D20">
              <w:rPr>
                <w:b/>
                <w:color w:val="FFFFFF" w:themeColor="background1"/>
              </w:rPr>
              <w:t>Description</w:t>
            </w:r>
          </w:p>
        </w:tc>
      </w:tr>
      <w:tr w:rsidR="005015E1" w:rsidRPr="004B2D20" w14:paraId="4284A871" w14:textId="77777777" w:rsidTr="002B38A5">
        <w:trPr>
          <w:jc w:val="center"/>
        </w:trPr>
        <w:tc>
          <w:tcPr>
            <w:tcW w:w="2131" w:type="dxa"/>
          </w:tcPr>
          <w:p w14:paraId="1C118267" w14:textId="77777777" w:rsidR="005015E1" w:rsidRPr="004B2D20" w:rsidRDefault="005015E1" w:rsidP="00BE7EA7">
            <w:pPr>
              <w:pStyle w:val="NormalParagraph"/>
              <w:spacing w:before="40" w:after="40" w:line="240" w:lineRule="auto"/>
              <w:rPr>
                <w:rFonts w:ascii="Courier New" w:hAnsi="Courier New" w:cs="Courier New"/>
                <w:sz w:val="20"/>
                <w:szCs w:val="20"/>
              </w:rPr>
            </w:pPr>
            <w:proofErr w:type="spellStart"/>
            <w:r w:rsidRPr="004B2D20">
              <w:rPr>
                <w:rFonts w:ascii="Courier New" w:hAnsi="Courier New" w:cs="Courier New"/>
                <w:sz w:val="20"/>
                <w:szCs w:val="20"/>
              </w:rPr>
              <w:t>sim_change</w:t>
            </w:r>
            <w:proofErr w:type="spellEnd"/>
          </w:p>
        </w:tc>
        <w:tc>
          <w:tcPr>
            <w:tcW w:w="1922" w:type="dxa"/>
          </w:tcPr>
          <w:p w14:paraId="66C45C5E" w14:textId="77777777" w:rsidR="005015E1" w:rsidRPr="004B2D20" w:rsidRDefault="005015E1" w:rsidP="00BE7EA7">
            <w:pPr>
              <w:pStyle w:val="NormalParagraph"/>
              <w:spacing w:before="40" w:after="40" w:line="240" w:lineRule="auto"/>
              <w:jc w:val="center"/>
              <w:rPr>
                <w:sz w:val="20"/>
                <w:szCs w:val="20"/>
              </w:rPr>
            </w:pPr>
            <w:r>
              <w:rPr>
                <w:sz w:val="20"/>
                <w:szCs w:val="20"/>
              </w:rPr>
              <w:t>REQUIRED</w:t>
            </w:r>
          </w:p>
        </w:tc>
        <w:tc>
          <w:tcPr>
            <w:tcW w:w="5014" w:type="dxa"/>
          </w:tcPr>
          <w:p w14:paraId="16186FC5" w14:textId="77777777" w:rsidR="005015E1" w:rsidRPr="004B2D20" w:rsidRDefault="005015E1" w:rsidP="00BE7EA7">
            <w:pPr>
              <w:pStyle w:val="NormalParagraph"/>
              <w:spacing w:before="40" w:after="40" w:line="240" w:lineRule="auto"/>
              <w:rPr>
                <w:sz w:val="20"/>
                <w:szCs w:val="20"/>
              </w:rPr>
            </w:pPr>
            <w:r w:rsidRPr="004B2D20">
              <w:rPr>
                <w:sz w:val="20"/>
                <w:szCs w:val="20"/>
              </w:rPr>
              <w:t xml:space="preserve">Timestamp of last </w:t>
            </w:r>
            <w:proofErr w:type="spellStart"/>
            <w:r w:rsidRPr="004B2D20">
              <w:rPr>
                <w:sz w:val="20"/>
                <w:szCs w:val="20"/>
              </w:rPr>
              <w:t>MSISDN</w:t>
            </w:r>
            <w:proofErr w:type="spellEnd"/>
            <w:r w:rsidRPr="004B2D20">
              <w:rPr>
                <w:sz w:val="20"/>
                <w:szCs w:val="20"/>
              </w:rPr>
              <w:t xml:space="preserve"> &lt;-&gt; IMSI pairing change</w:t>
            </w:r>
            <w:r>
              <w:rPr>
                <w:sz w:val="20"/>
                <w:szCs w:val="20"/>
              </w:rPr>
              <w:t xml:space="preserve"> [</w:t>
            </w:r>
            <w:r w:rsidRPr="00DA60CB">
              <w:rPr>
                <w:sz w:val="20"/>
                <w:szCs w:val="20"/>
              </w:rPr>
              <w:t>RFC 3339 absolute timestamp format</w:t>
            </w:r>
            <w:r>
              <w:rPr>
                <w:sz w:val="20"/>
                <w:szCs w:val="20"/>
              </w:rPr>
              <w:t>]</w:t>
            </w:r>
          </w:p>
        </w:tc>
      </w:tr>
      <w:tr w:rsidR="005015E1" w:rsidRPr="004B2D20" w14:paraId="21E1E988" w14:textId="77777777" w:rsidTr="002B38A5">
        <w:trPr>
          <w:jc w:val="center"/>
        </w:trPr>
        <w:tc>
          <w:tcPr>
            <w:tcW w:w="2131" w:type="dxa"/>
          </w:tcPr>
          <w:p w14:paraId="763EC2A7" w14:textId="77777777" w:rsidR="005015E1" w:rsidRPr="004B2D20" w:rsidRDefault="005015E1" w:rsidP="00BE7EA7">
            <w:pPr>
              <w:pStyle w:val="NormalParagraph"/>
              <w:spacing w:before="40" w:after="40" w:line="240" w:lineRule="auto"/>
              <w:rPr>
                <w:rFonts w:ascii="Courier New" w:hAnsi="Courier New" w:cs="Courier New"/>
                <w:sz w:val="20"/>
                <w:szCs w:val="20"/>
              </w:rPr>
            </w:pPr>
            <w:proofErr w:type="spellStart"/>
            <w:r w:rsidRPr="004B2D20">
              <w:rPr>
                <w:rFonts w:ascii="Courier New" w:hAnsi="Courier New" w:cs="Courier New"/>
                <w:sz w:val="20"/>
                <w:szCs w:val="20"/>
              </w:rPr>
              <w:lastRenderedPageBreak/>
              <w:t>is_unconditional_call_divert_active</w:t>
            </w:r>
            <w:proofErr w:type="spellEnd"/>
          </w:p>
        </w:tc>
        <w:tc>
          <w:tcPr>
            <w:tcW w:w="1922" w:type="dxa"/>
          </w:tcPr>
          <w:p w14:paraId="60BE6512" w14:textId="77777777" w:rsidR="005015E1" w:rsidRPr="004B2D20" w:rsidRDefault="005015E1" w:rsidP="00BE7EA7">
            <w:pPr>
              <w:pStyle w:val="NormalParagraph"/>
              <w:spacing w:before="40" w:after="40" w:line="240" w:lineRule="auto"/>
              <w:jc w:val="center"/>
              <w:rPr>
                <w:sz w:val="20"/>
                <w:szCs w:val="20"/>
              </w:rPr>
            </w:pPr>
            <w:r>
              <w:rPr>
                <w:sz w:val="20"/>
                <w:szCs w:val="20"/>
              </w:rPr>
              <w:t>OPTIONAL</w:t>
            </w:r>
          </w:p>
        </w:tc>
        <w:tc>
          <w:tcPr>
            <w:tcW w:w="5014" w:type="dxa"/>
          </w:tcPr>
          <w:p w14:paraId="03384CAB" w14:textId="77777777" w:rsidR="005015E1" w:rsidRPr="004B2D20" w:rsidRDefault="005015E1" w:rsidP="00BE7EA7">
            <w:pPr>
              <w:pStyle w:val="NormalParagraph"/>
              <w:spacing w:before="40" w:after="40" w:line="240" w:lineRule="auto"/>
              <w:rPr>
                <w:sz w:val="20"/>
                <w:szCs w:val="20"/>
              </w:rPr>
            </w:pPr>
            <w:r w:rsidRPr="004B2D20">
              <w:rPr>
                <w:sz w:val="20"/>
                <w:szCs w:val="20"/>
              </w:rPr>
              <w:t xml:space="preserve">Mobile phone account has an unconditional call divert set to a number; </w:t>
            </w:r>
            <w:r>
              <w:rPr>
                <w:sz w:val="20"/>
                <w:szCs w:val="20"/>
              </w:rPr>
              <w:t>Returns true or false</w:t>
            </w:r>
          </w:p>
        </w:tc>
      </w:tr>
      <w:tr w:rsidR="005015E1" w:rsidRPr="004B2D20" w14:paraId="6E5F3105" w14:textId="77777777" w:rsidTr="002B38A5">
        <w:trPr>
          <w:jc w:val="center"/>
        </w:trPr>
        <w:tc>
          <w:tcPr>
            <w:tcW w:w="2131" w:type="dxa"/>
          </w:tcPr>
          <w:p w14:paraId="72C8BCBB" w14:textId="77777777" w:rsidR="005015E1" w:rsidRPr="004B2D20" w:rsidRDefault="005015E1" w:rsidP="00BE7EA7">
            <w:pPr>
              <w:pStyle w:val="NormalParagraph"/>
              <w:spacing w:before="40" w:after="40" w:line="240" w:lineRule="auto"/>
              <w:rPr>
                <w:rFonts w:ascii="Courier New" w:hAnsi="Courier New" w:cs="Courier New"/>
                <w:sz w:val="20"/>
                <w:szCs w:val="20"/>
              </w:rPr>
            </w:pPr>
            <w:proofErr w:type="spellStart"/>
            <w:r w:rsidRPr="004B2D20">
              <w:rPr>
                <w:rFonts w:ascii="Courier New" w:hAnsi="Courier New" w:cs="Courier New"/>
                <w:sz w:val="20"/>
                <w:szCs w:val="20"/>
              </w:rPr>
              <w:t>is_lost_stolen</w:t>
            </w:r>
            <w:proofErr w:type="spellEnd"/>
          </w:p>
        </w:tc>
        <w:tc>
          <w:tcPr>
            <w:tcW w:w="1922" w:type="dxa"/>
          </w:tcPr>
          <w:p w14:paraId="19FD36DD" w14:textId="77777777" w:rsidR="005015E1" w:rsidRPr="004B2D20" w:rsidRDefault="005015E1" w:rsidP="00BE7EA7">
            <w:pPr>
              <w:pStyle w:val="NormalParagraph"/>
              <w:spacing w:before="40" w:after="40" w:line="240" w:lineRule="auto"/>
              <w:jc w:val="center"/>
              <w:rPr>
                <w:sz w:val="20"/>
                <w:szCs w:val="20"/>
              </w:rPr>
            </w:pPr>
            <w:r>
              <w:rPr>
                <w:sz w:val="20"/>
                <w:szCs w:val="20"/>
              </w:rPr>
              <w:t>OPTIONAL</w:t>
            </w:r>
          </w:p>
        </w:tc>
        <w:tc>
          <w:tcPr>
            <w:tcW w:w="5014" w:type="dxa"/>
          </w:tcPr>
          <w:p w14:paraId="222E898A" w14:textId="77777777" w:rsidR="005015E1" w:rsidRPr="004B2D20" w:rsidRDefault="005015E1" w:rsidP="00BE7EA7">
            <w:pPr>
              <w:pStyle w:val="NormalParagraph"/>
              <w:spacing w:before="40" w:after="40" w:line="240" w:lineRule="auto"/>
              <w:rPr>
                <w:sz w:val="20"/>
                <w:szCs w:val="20"/>
              </w:rPr>
            </w:pPr>
            <w:r>
              <w:rPr>
                <w:sz w:val="20"/>
              </w:rPr>
              <w:t>Returns true or false</w:t>
            </w:r>
          </w:p>
        </w:tc>
      </w:tr>
      <w:tr w:rsidR="005015E1" w:rsidRPr="004B2D20" w14:paraId="4DA6F23D" w14:textId="77777777" w:rsidTr="002B38A5">
        <w:trPr>
          <w:jc w:val="center"/>
        </w:trPr>
        <w:tc>
          <w:tcPr>
            <w:tcW w:w="2131" w:type="dxa"/>
          </w:tcPr>
          <w:p w14:paraId="54E88E5E" w14:textId="77777777" w:rsidR="005015E1" w:rsidRPr="004B2D20" w:rsidRDefault="005015E1" w:rsidP="00BE7EA7">
            <w:pPr>
              <w:pStyle w:val="NormalParagraph"/>
              <w:spacing w:before="40" w:after="40" w:line="240" w:lineRule="auto"/>
              <w:rPr>
                <w:rFonts w:ascii="Courier New" w:hAnsi="Courier New" w:cs="Courier New"/>
                <w:sz w:val="20"/>
                <w:szCs w:val="20"/>
              </w:rPr>
            </w:pPr>
            <w:proofErr w:type="spellStart"/>
            <w:r w:rsidRPr="004B2D20">
              <w:rPr>
                <w:rFonts w:ascii="Courier New" w:hAnsi="Courier New" w:cs="Courier New"/>
                <w:sz w:val="20"/>
                <w:szCs w:val="20"/>
              </w:rPr>
              <w:t>device_change</w:t>
            </w:r>
            <w:proofErr w:type="spellEnd"/>
          </w:p>
        </w:tc>
        <w:tc>
          <w:tcPr>
            <w:tcW w:w="1922" w:type="dxa"/>
          </w:tcPr>
          <w:p w14:paraId="78AA883B" w14:textId="77777777" w:rsidR="005015E1" w:rsidRPr="004B2D20" w:rsidRDefault="005015E1" w:rsidP="00BE7EA7">
            <w:pPr>
              <w:pStyle w:val="NormalParagraph"/>
              <w:spacing w:before="40" w:after="40" w:line="240" w:lineRule="auto"/>
              <w:jc w:val="center"/>
              <w:rPr>
                <w:sz w:val="20"/>
                <w:szCs w:val="20"/>
              </w:rPr>
            </w:pPr>
            <w:r>
              <w:rPr>
                <w:sz w:val="20"/>
                <w:szCs w:val="20"/>
              </w:rPr>
              <w:t>OPTIONAL</w:t>
            </w:r>
          </w:p>
        </w:tc>
        <w:tc>
          <w:tcPr>
            <w:tcW w:w="5014" w:type="dxa"/>
          </w:tcPr>
          <w:p w14:paraId="413948B4" w14:textId="77777777" w:rsidR="005015E1" w:rsidRPr="004B2D20" w:rsidRDefault="005015E1" w:rsidP="00BE7EA7">
            <w:pPr>
              <w:pStyle w:val="NormalParagraph"/>
              <w:spacing w:before="40" w:after="40" w:line="240" w:lineRule="auto"/>
              <w:rPr>
                <w:sz w:val="20"/>
                <w:szCs w:val="20"/>
              </w:rPr>
            </w:pPr>
            <w:r w:rsidRPr="004B2D20">
              <w:rPr>
                <w:sz w:val="20"/>
                <w:szCs w:val="20"/>
              </w:rPr>
              <w:t xml:space="preserve">Timestamp of last </w:t>
            </w:r>
            <w:proofErr w:type="spellStart"/>
            <w:r w:rsidRPr="004B2D20">
              <w:rPr>
                <w:sz w:val="20"/>
                <w:szCs w:val="20"/>
              </w:rPr>
              <w:t>MSISDN</w:t>
            </w:r>
            <w:proofErr w:type="spellEnd"/>
            <w:r w:rsidRPr="004B2D20">
              <w:rPr>
                <w:sz w:val="20"/>
                <w:szCs w:val="20"/>
              </w:rPr>
              <w:t xml:space="preserve"> &lt;-&gt; IMEI pairing change</w:t>
            </w:r>
            <w:r>
              <w:rPr>
                <w:sz w:val="20"/>
                <w:szCs w:val="20"/>
              </w:rPr>
              <w:t xml:space="preserve"> [</w:t>
            </w:r>
            <w:r w:rsidRPr="00DA60CB">
              <w:rPr>
                <w:sz w:val="20"/>
                <w:szCs w:val="20"/>
              </w:rPr>
              <w:t>RFC 3339 absolute timestamp format</w:t>
            </w:r>
            <w:r>
              <w:rPr>
                <w:sz w:val="20"/>
                <w:szCs w:val="20"/>
              </w:rPr>
              <w:t>]</w:t>
            </w:r>
          </w:p>
        </w:tc>
      </w:tr>
      <w:tr w:rsidR="005015E1" w:rsidRPr="004B2D20" w14:paraId="26373297" w14:textId="77777777" w:rsidTr="002B38A5">
        <w:trPr>
          <w:jc w:val="center"/>
        </w:trPr>
        <w:tc>
          <w:tcPr>
            <w:tcW w:w="2131" w:type="dxa"/>
          </w:tcPr>
          <w:p w14:paraId="18A7E7A1" w14:textId="77777777" w:rsidR="005015E1" w:rsidRPr="004B2D20" w:rsidRDefault="005015E1" w:rsidP="00BE7EA7">
            <w:pPr>
              <w:pStyle w:val="NormalParagraph"/>
              <w:spacing w:before="40" w:after="40" w:line="240" w:lineRule="auto"/>
              <w:rPr>
                <w:rFonts w:ascii="Courier New" w:hAnsi="Courier New" w:cs="Courier New"/>
                <w:sz w:val="20"/>
                <w:szCs w:val="20"/>
              </w:rPr>
            </w:pPr>
            <w:proofErr w:type="spellStart"/>
            <w:r w:rsidRPr="004B2D20">
              <w:rPr>
                <w:rFonts w:ascii="Courier New" w:hAnsi="Courier New" w:cs="Courier New"/>
                <w:sz w:val="20"/>
                <w:szCs w:val="20"/>
              </w:rPr>
              <w:t>account_state</w:t>
            </w:r>
            <w:proofErr w:type="spellEnd"/>
          </w:p>
        </w:tc>
        <w:tc>
          <w:tcPr>
            <w:tcW w:w="1922" w:type="dxa"/>
          </w:tcPr>
          <w:p w14:paraId="7C6DBA51" w14:textId="77777777" w:rsidR="005015E1" w:rsidRPr="004B2D20" w:rsidRDefault="005015E1" w:rsidP="00BE7EA7">
            <w:pPr>
              <w:pStyle w:val="NormalParagraph"/>
              <w:spacing w:before="40" w:after="40" w:line="240" w:lineRule="auto"/>
              <w:jc w:val="center"/>
              <w:rPr>
                <w:sz w:val="20"/>
                <w:szCs w:val="20"/>
              </w:rPr>
            </w:pPr>
            <w:r>
              <w:rPr>
                <w:sz w:val="20"/>
                <w:szCs w:val="20"/>
              </w:rPr>
              <w:t>OPTIONAL</w:t>
            </w:r>
          </w:p>
        </w:tc>
        <w:tc>
          <w:tcPr>
            <w:tcW w:w="5014" w:type="dxa"/>
          </w:tcPr>
          <w:p w14:paraId="1891A36C" w14:textId="77777777" w:rsidR="005015E1" w:rsidRPr="004B2D20" w:rsidRDefault="005015E1" w:rsidP="00BE7EA7">
            <w:pPr>
              <w:pStyle w:val="NormalParagraph"/>
              <w:spacing w:before="40" w:after="40" w:line="240" w:lineRule="auto"/>
              <w:rPr>
                <w:sz w:val="20"/>
                <w:szCs w:val="20"/>
              </w:rPr>
            </w:pPr>
            <w:r>
              <w:rPr>
                <w:sz w:val="20"/>
                <w:szCs w:val="20"/>
              </w:rPr>
              <w:t xml:space="preserve">Status of the mobile phone account: </w:t>
            </w:r>
            <w:r w:rsidRPr="004B2D20">
              <w:rPr>
                <w:sz w:val="20"/>
                <w:szCs w:val="20"/>
              </w:rPr>
              <w:t>“active” or “inactive”</w:t>
            </w:r>
          </w:p>
        </w:tc>
      </w:tr>
    </w:tbl>
    <w:p w14:paraId="2E9C81DB" w14:textId="77777777" w:rsidR="005015E1" w:rsidRPr="004B2D20" w:rsidRDefault="005015E1" w:rsidP="005015E1">
      <w:pPr>
        <w:pStyle w:val="TableCaption"/>
        <w:numPr>
          <w:ilvl w:val="0"/>
          <w:numId w:val="1"/>
        </w:numPr>
      </w:pPr>
      <w:bookmarkStart w:id="96" w:name="_Ref525563967"/>
      <w:r w:rsidRPr="004B2D20">
        <w:t xml:space="preserve">: </w:t>
      </w:r>
      <w:r>
        <w:t>Mobile Connect ATP</w:t>
      </w:r>
      <w:r w:rsidRPr="004B2D20">
        <w:t xml:space="preserve"> attribute set</w:t>
      </w:r>
      <w:bookmarkEnd w:id="96"/>
    </w:p>
    <w:p w14:paraId="452E6E79" w14:textId="77777777" w:rsidR="005015E1" w:rsidRDefault="005015E1" w:rsidP="005015E1">
      <w:pPr>
        <w:pStyle w:val="NormalParagraph"/>
      </w:pPr>
      <w:r>
        <w:t>An Operator ID GW MUST provide the REQUIRED attributes.</w:t>
      </w:r>
    </w:p>
    <w:p w14:paraId="5C064E36" w14:textId="77777777" w:rsidR="008015BB" w:rsidRDefault="005015E1" w:rsidP="005015E1">
      <w:pPr>
        <w:pStyle w:val="NormalParagraph"/>
      </w:pPr>
      <w:r>
        <w:t xml:space="preserve">An Operator ID GW MAY provide any of the OPTIONAL attributes </w:t>
      </w:r>
    </w:p>
    <w:p w14:paraId="2150EF7A" w14:textId="17E041E3" w:rsidR="005015E1" w:rsidRDefault="005015E1" w:rsidP="00BB0606">
      <w:pPr>
        <w:pStyle w:val="NOTE"/>
      </w:pPr>
      <w:r>
        <w:t>Note</w:t>
      </w:r>
      <w:r w:rsidR="008015BB">
        <w:t>:</w:t>
      </w:r>
      <w:r w:rsidR="008015BB">
        <w:tab/>
        <w:t>T</w:t>
      </w:r>
      <w:r>
        <w:t>hat all Operators within a market MUST agree on the final attribute set to ensure consistency within that market.</w:t>
      </w:r>
    </w:p>
    <w:p w14:paraId="38FFD4CB" w14:textId="643C5C78" w:rsidR="005015E1" w:rsidRDefault="005015E1" w:rsidP="005015E1">
      <w:pPr>
        <w:pStyle w:val="NormalParagraph"/>
      </w:pPr>
      <w:r>
        <w:t>An</w:t>
      </w:r>
      <w:r w:rsidRPr="004B2D20">
        <w:t xml:space="preserve"> Operator </w:t>
      </w:r>
      <w:r>
        <w:t xml:space="preserve">ID GW </w:t>
      </w:r>
      <w:r w:rsidRPr="004B2D20">
        <w:t>may offer additional attributes to complement the attribute</w:t>
      </w:r>
      <w:r>
        <w:t>s</w:t>
      </w:r>
      <w:r w:rsidRPr="004B2D20">
        <w:t xml:space="preserve"> </w:t>
      </w:r>
      <w:r>
        <w:t xml:space="preserve">shown in </w:t>
      </w:r>
      <w:r>
        <w:fldChar w:fldCharType="begin"/>
      </w:r>
      <w:r>
        <w:instrText xml:space="preserve"> REF _Ref525563967 \r \h </w:instrText>
      </w:r>
      <w:r>
        <w:fldChar w:fldCharType="separate"/>
      </w:r>
      <w:r w:rsidR="00847406">
        <w:t>Table 3</w:t>
      </w:r>
      <w:r>
        <w:fldChar w:fldCharType="end"/>
      </w:r>
      <w:r w:rsidRPr="004B2D20">
        <w:t xml:space="preserve">; this is at their discretion and </w:t>
      </w:r>
      <w:r w:rsidR="008015BB">
        <w:t xml:space="preserve">are </w:t>
      </w:r>
      <w:r w:rsidRPr="004B2D20">
        <w:t xml:space="preserve">not covered by </w:t>
      </w:r>
      <w:r>
        <w:t>this service definition</w:t>
      </w:r>
      <w:r w:rsidRPr="004B2D20">
        <w:t>.</w:t>
      </w:r>
    </w:p>
    <w:p w14:paraId="49932F6F" w14:textId="77777777" w:rsidR="005015E1" w:rsidRDefault="005015E1" w:rsidP="005015E1">
      <w:pPr>
        <w:pStyle w:val="Heading2"/>
      </w:pPr>
      <w:bookmarkStart w:id="97" w:name="_Toc528057547"/>
      <w:bookmarkStart w:id="98" w:name="_Toc467065388"/>
      <w:bookmarkStart w:id="99" w:name="_Toc119425901"/>
      <w:bookmarkStart w:id="100" w:name="_Toc121260649"/>
      <w:bookmarkEnd w:id="70"/>
      <w:bookmarkEnd w:id="71"/>
      <w:bookmarkEnd w:id="97"/>
      <w:r>
        <w:t>Service Specific</w:t>
      </w:r>
      <w:bookmarkStart w:id="101" w:name="_Toc466480062"/>
      <w:bookmarkEnd w:id="98"/>
      <w:r w:rsidRPr="004B2D20">
        <w:t xml:space="preserve"> Requirements</w:t>
      </w:r>
      <w:bookmarkEnd w:id="99"/>
      <w:bookmarkEnd w:id="100"/>
      <w:bookmarkEnd w:id="101"/>
      <w:r w:rsidRPr="004B2D20">
        <w:t xml:space="preserve"> </w:t>
      </w:r>
    </w:p>
    <w:p w14:paraId="2E8F9E4D" w14:textId="7283B6DF" w:rsidR="005015E1" w:rsidRDefault="005015E1" w:rsidP="005015E1">
      <w:pPr>
        <w:pStyle w:val="NormalParagraph"/>
        <w:rPr>
          <w:lang w:eastAsia="zh-CN" w:bidi="bn-BD"/>
        </w:rPr>
      </w:pPr>
      <w:r>
        <w:rPr>
          <w:lang w:eastAsia="zh-CN" w:bidi="bn-BD"/>
        </w:rPr>
        <w:fldChar w:fldCharType="begin"/>
      </w:r>
      <w:r>
        <w:rPr>
          <w:lang w:eastAsia="zh-CN" w:bidi="bn-BD"/>
        </w:rPr>
        <w:instrText xml:space="preserve"> REF _Ref528083674 \r \h </w:instrText>
      </w:r>
      <w:r>
        <w:rPr>
          <w:lang w:eastAsia="zh-CN" w:bidi="bn-BD"/>
        </w:rPr>
      </w:r>
      <w:r>
        <w:rPr>
          <w:lang w:eastAsia="zh-CN" w:bidi="bn-BD"/>
        </w:rPr>
        <w:fldChar w:fldCharType="separate"/>
      </w:r>
      <w:r w:rsidR="00847406">
        <w:rPr>
          <w:lang w:eastAsia="zh-CN" w:bidi="bn-BD"/>
        </w:rPr>
        <w:t>Table 4</w:t>
      </w:r>
      <w:r>
        <w:rPr>
          <w:lang w:eastAsia="zh-CN" w:bidi="bn-BD"/>
        </w:rPr>
        <w:fldChar w:fldCharType="end"/>
      </w:r>
      <w:r>
        <w:rPr>
          <w:lang w:eastAsia="zh-CN" w:bidi="bn-BD"/>
        </w:rPr>
        <w:t xml:space="preserve"> defines the service-specific requirements relating to the Mobile Connect ATP service. These should be used in conjunction with the following requirements</w:t>
      </w:r>
      <w:r w:rsidRPr="00C93285">
        <w:rPr>
          <w:lang w:eastAsia="zh-CN" w:bidi="bn-BD"/>
        </w:rPr>
        <w:t xml:space="preserve"> </w:t>
      </w:r>
      <w:r>
        <w:rPr>
          <w:lang w:eastAsia="zh-CN" w:bidi="bn-BD"/>
        </w:rPr>
        <w:t xml:space="preserve">in the implementation of this Mobile Connect service: </w:t>
      </w:r>
    </w:p>
    <w:p w14:paraId="56B8B5CE" w14:textId="4B8583CD" w:rsidR="005015E1" w:rsidRDefault="005015E1" w:rsidP="005015E1">
      <w:pPr>
        <w:pStyle w:val="NormalParagraph"/>
        <w:numPr>
          <w:ilvl w:val="0"/>
          <w:numId w:val="24"/>
        </w:numPr>
        <w:rPr>
          <w:lang w:eastAsia="zh-CN" w:bidi="bn-BD"/>
        </w:rPr>
      </w:pPr>
      <w:r>
        <w:rPr>
          <w:lang w:eastAsia="zh-CN" w:bidi="bn-BD"/>
        </w:rPr>
        <w:t xml:space="preserve">Core Requirements specified in the Mobile Connect Technical Architecture and Core Requirements </w:t>
      </w:r>
      <w:r>
        <w:rPr>
          <w:lang w:eastAsia="zh-CN" w:bidi="bn-BD"/>
        </w:rPr>
        <w:fldChar w:fldCharType="begin"/>
      </w:r>
      <w:r>
        <w:rPr>
          <w:lang w:eastAsia="zh-CN" w:bidi="bn-BD"/>
        </w:rPr>
        <w:instrText xml:space="preserve"> REF _Ref527468793 \r \h </w:instrText>
      </w:r>
      <w:r>
        <w:rPr>
          <w:lang w:eastAsia="zh-CN" w:bidi="bn-BD"/>
        </w:rPr>
      </w:r>
      <w:r>
        <w:rPr>
          <w:lang w:eastAsia="zh-CN" w:bidi="bn-BD"/>
        </w:rPr>
        <w:fldChar w:fldCharType="separate"/>
      </w:r>
      <w:r w:rsidR="00847406">
        <w:rPr>
          <w:lang w:eastAsia="zh-CN" w:bidi="bn-BD"/>
        </w:rPr>
        <w:t>[5]</w:t>
      </w:r>
      <w:r>
        <w:rPr>
          <w:lang w:eastAsia="zh-CN" w:bidi="bn-BD"/>
        </w:rPr>
        <w:fldChar w:fldCharType="end"/>
      </w:r>
      <w:r>
        <w:rPr>
          <w:lang w:eastAsia="zh-CN" w:bidi="bn-BD"/>
        </w:rPr>
        <w:t>. Note that these are common to all Mobile Connect Services.</w:t>
      </w:r>
    </w:p>
    <w:p w14:paraId="072384C5" w14:textId="0DB341C3" w:rsidR="005015E1" w:rsidRDefault="005015E1" w:rsidP="005015E1">
      <w:pPr>
        <w:pStyle w:val="NormalParagraph"/>
        <w:numPr>
          <w:ilvl w:val="0"/>
          <w:numId w:val="24"/>
        </w:numPr>
        <w:rPr>
          <w:lang w:eastAsia="zh-CN" w:bidi="bn-BD"/>
        </w:rPr>
      </w:pPr>
      <w:r>
        <w:rPr>
          <w:lang w:eastAsia="zh-CN" w:bidi="bn-BD"/>
        </w:rPr>
        <w:t xml:space="preserve">Resource Server and Attribute Services Requirements specified in the Mobile Connect Resource Server Specification </w:t>
      </w:r>
      <w:r>
        <w:rPr>
          <w:lang w:eastAsia="zh-CN" w:bidi="bn-BD"/>
        </w:rPr>
        <w:fldChar w:fldCharType="begin"/>
      </w:r>
      <w:r>
        <w:rPr>
          <w:lang w:eastAsia="zh-CN" w:bidi="bn-BD"/>
        </w:rPr>
        <w:instrText xml:space="preserve"> REF _Ref528057683 \r \h </w:instrText>
      </w:r>
      <w:r>
        <w:rPr>
          <w:lang w:eastAsia="zh-CN" w:bidi="bn-BD"/>
        </w:rPr>
      </w:r>
      <w:r>
        <w:rPr>
          <w:lang w:eastAsia="zh-CN" w:bidi="bn-BD"/>
        </w:rPr>
        <w:fldChar w:fldCharType="separate"/>
      </w:r>
      <w:r w:rsidR="00847406">
        <w:rPr>
          <w:lang w:eastAsia="zh-CN" w:bidi="bn-BD"/>
        </w:rPr>
        <w:t>[8]</w:t>
      </w:r>
      <w:r>
        <w:rPr>
          <w:lang w:eastAsia="zh-CN" w:bidi="bn-BD"/>
        </w:rPr>
        <w:fldChar w:fldCharType="end"/>
      </w:r>
      <w:r>
        <w:rPr>
          <w:lang w:eastAsia="zh-CN" w:bidi="bn-BD"/>
        </w:rPr>
        <w:t xml:space="preserve">. Note that these are common to all Mobile Connect attribute services. Service specific requirements may further refine or qualify the more general requirements for attribute services. </w:t>
      </w:r>
    </w:p>
    <w:p w14:paraId="78A92060" w14:textId="4A6A1659" w:rsidR="005015E1" w:rsidRDefault="005015E1" w:rsidP="005015E1">
      <w:pPr>
        <w:pStyle w:val="NormalParagraph"/>
        <w:rPr>
          <w:lang w:eastAsia="zh-CN" w:bidi="bn-BD"/>
        </w:rPr>
      </w:pPr>
      <w:r>
        <w:rPr>
          <w:lang w:eastAsia="zh-CN" w:bidi="bn-BD"/>
        </w:rPr>
        <w:t xml:space="preserve">For terminology and associated specifications please refer to the Mobile Connect Technical Overview </w:t>
      </w:r>
      <w:r>
        <w:rPr>
          <w:lang w:eastAsia="zh-CN" w:bidi="bn-BD"/>
        </w:rPr>
        <w:fldChar w:fldCharType="begin"/>
      </w:r>
      <w:r>
        <w:rPr>
          <w:lang w:eastAsia="zh-CN" w:bidi="bn-BD"/>
        </w:rPr>
        <w:instrText xml:space="preserve"> REF _Ref527468801 \r \h </w:instrText>
      </w:r>
      <w:r>
        <w:rPr>
          <w:lang w:eastAsia="zh-CN" w:bidi="bn-BD"/>
        </w:rPr>
      </w:r>
      <w:r>
        <w:rPr>
          <w:lang w:eastAsia="zh-CN" w:bidi="bn-BD"/>
        </w:rPr>
        <w:fldChar w:fldCharType="separate"/>
      </w:r>
      <w:r w:rsidR="00847406">
        <w:rPr>
          <w:lang w:eastAsia="zh-CN" w:bidi="bn-BD"/>
        </w:rPr>
        <w:t>[4]</w:t>
      </w:r>
      <w:r>
        <w:rPr>
          <w:lang w:eastAsia="zh-CN" w:bidi="bn-BD"/>
        </w:rPr>
        <w:fldChar w:fldCharType="end"/>
      </w:r>
      <w:r>
        <w:rPr>
          <w:lang w:eastAsia="zh-CN" w:bidi="bn-BD"/>
        </w:rPr>
        <w:t>.</w:t>
      </w:r>
    </w:p>
    <w:tbl>
      <w:tblPr>
        <w:tblStyle w:val="TableGrid"/>
        <w:tblW w:w="0" w:type="auto"/>
        <w:tblLayout w:type="fixed"/>
        <w:tblLook w:val="04A0" w:firstRow="1" w:lastRow="0" w:firstColumn="1" w:lastColumn="0" w:noHBand="0" w:noVBand="1"/>
      </w:tblPr>
      <w:tblGrid>
        <w:gridCol w:w="1795"/>
        <w:gridCol w:w="1324"/>
        <w:gridCol w:w="5670"/>
      </w:tblGrid>
      <w:tr w:rsidR="005015E1" w:rsidRPr="00E96555" w14:paraId="7089BE35" w14:textId="77777777" w:rsidTr="00BE7EA7">
        <w:trPr>
          <w:trHeight w:val="300"/>
        </w:trPr>
        <w:tc>
          <w:tcPr>
            <w:tcW w:w="1795" w:type="dxa"/>
            <w:shd w:val="clear" w:color="auto" w:fill="C00000"/>
          </w:tcPr>
          <w:p w14:paraId="0B4C0687" w14:textId="77777777" w:rsidR="005015E1" w:rsidRPr="00E96555" w:rsidRDefault="005015E1" w:rsidP="00BE7EA7">
            <w:pPr>
              <w:autoSpaceDE w:val="0"/>
              <w:autoSpaceDN w:val="0"/>
              <w:adjustRightInd w:val="0"/>
              <w:rPr>
                <w:rFonts w:ascii="Arial" w:eastAsia="Calibri" w:hAnsi="Arial" w:cs="Arial"/>
                <w:b/>
                <w:bCs/>
                <w:color w:val="FFFFFF" w:themeColor="background1"/>
                <w:sz w:val="20"/>
                <w:szCs w:val="20"/>
                <w:lang w:val="en-US" w:eastAsia="en-GB"/>
              </w:rPr>
            </w:pPr>
            <w:r w:rsidRPr="00E96555">
              <w:rPr>
                <w:rFonts w:ascii="Arial" w:hAnsi="Arial" w:cs="Arial"/>
                <w:b/>
                <w:color w:val="FFFFFF" w:themeColor="background1"/>
                <w:sz w:val="20"/>
                <w:szCs w:val="20"/>
              </w:rPr>
              <w:t>Requirement No.</w:t>
            </w:r>
          </w:p>
        </w:tc>
        <w:tc>
          <w:tcPr>
            <w:tcW w:w="1324" w:type="dxa"/>
            <w:shd w:val="clear" w:color="auto" w:fill="C00000"/>
          </w:tcPr>
          <w:p w14:paraId="7EA3220F" w14:textId="77777777" w:rsidR="005015E1" w:rsidRPr="00E96555" w:rsidRDefault="005015E1" w:rsidP="00BE7EA7">
            <w:pPr>
              <w:autoSpaceDE w:val="0"/>
              <w:autoSpaceDN w:val="0"/>
              <w:adjustRightInd w:val="0"/>
              <w:rPr>
                <w:rFonts w:ascii="Arial" w:eastAsia="Calibri" w:hAnsi="Arial" w:cs="Arial"/>
                <w:b/>
                <w:bCs/>
                <w:color w:val="FFFFFF" w:themeColor="background1"/>
                <w:sz w:val="20"/>
                <w:szCs w:val="20"/>
                <w:lang w:val="en-US" w:eastAsia="en-GB"/>
              </w:rPr>
            </w:pPr>
            <w:r w:rsidRPr="00E96555">
              <w:rPr>
                <w:rFonts w:ascii="Arial" w:hAnsi="Arial" w:cs="Arial"/>
                <w:b/>
                <w:color w:val="FFFFFF" w:themeColor="background1"/>
                <w:sz w:val="20"/>
                <w:szCs w:val="20"/>
              </w:rPr>
              <w:t>Category</w:t>
            </w:r>
          </w:p>
        </w:tc>
        <w:tc>
          <w:tcPr>
            <w:tcW w:w="5670" w:type="dxa"/>
            <w:shd w:val="clear" w:color="auto" w:fill="C00000"/>
          </w:tcPr>
          <w:p w14:paraId="535EA26B" w14:textId="77777777" w:rsidR="005015E1" w:rsidRPr="00E96555" w:rsidRDefault="005015E1" w:rsidP="00BE7EA7">
            <w:pPr>
              <w:autoSpaceDE w:val="0"/>
              <w:autoSpaceDN w:val="0"/>
              <w:adjustRightInd w:val="0"/>
              <w:rPr>
                <w:rFonts w:ascii="Arial" w:eastAsia="Calibri" w:hAnsi="Arial" w:cs="Arial"/>
                <w:b/>
                <w:bCs/>
                <w:color w:val="FFFFFF" w:themeColor="background1"/>
                <w:sz w:val="20"/>
                <w:szCs w:val="20"/>
                <w:lang w:val="en-US" w:eastAsia="en-GB"/>
              </w:rPr>
            </w:pPr>
            <w:r w:rsidRPr="00E96555">
              <w:rPr>
                <w:rFonts w:ascii="Arial" w:hAnsi="Arial" w:cs="Arial"/>
                <w:b/>
                <w:color w:val="FFFFFF" w:themeColor="background1"/>
                <w:sz w:val="20"/>
                <w:szCs w:val="20"/>
              </w:rPr>
              <w:t>Description</w:t>
            </w:r>
          </w:p>
        </w:tc>
      </w:tr>
      <w:tr w:rsidR="005015E1" w:rsidRPr="00E96555" w14:paraId="4E952051" w14:textId="77777777" w:rsidTr="00BE7EA7">
        <w:trPr>
          <w:trHeight w:val="2100"/>
        </w:trPr>
        <w:tc>
          <w:tcPr>
            <w:tcW w:w="1795" w:type="dxa"/>
          </w:tcPr>
          <w:p w14:paraId="6F52E133"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MC_ATP_01</w:t>
            </w:r>
          </w:p>
        </w:tc>
        <w:tc>
          <w:tcPr>
            <w:tcW w:w="1324" w:type="dxa"/>
          </w:tcPr>
          <w:p w14:paraId="59965BBC"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Service Registration</w:t>
            </w:r>
          </w:p>
        </w:tc>
        <w:tc>
          <w:tcPr>
            <w:tcW w:w="5670" w:type="dxa"/>
          </w:tcPr>
          <w:p w14:paraId="784A1F06" w14:textId="79D03900"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The ID GW must be able to allow a </w:t>
            </w:r>
            <w:r w:rsidR="003E04A9">
              <w:rPr>
                <w:rFonts w:ascii="Arial" w:eastAsia="Calibri" w:hAnsi="Arial" w:cs="Arial"/>
                <w:color w:val="000000"/>
                <w:sz w:val="20"/>
                <w:szCs w:val="20"/>
                <w:lang w:val="en-US" w:eastAsia="en-GB"/>
              </w:rPr>
              <w:t>SP</w:t>
            </w:r>
            <w:r w:rsidRPr="00E96555">
              <w:rPr>
                <w:rFonts w:ascii="Arial" w:eastAsia="Calibri" w:hAnsi="Arial" w:cs="Arial"/>
                <w:color w:val="000000"/>
                <w:sz w:val="20"/>
                <w:szCs w:val="20"/>
                <w:lang w:val="en-US" w:eastAsia="en-GB"/>
              </w:rPr>
              <w:t xml:space="preserve"> (client application / service) to register for the Mobile Connect ATP service and be provisioned with the requisite SP-provided parameters dependent on whether the SP intends to use Server-Initiated mode with notification or polling when requesting the service and what modes are supported by the ID GW. See the Mobile Connect Server-Initiated </w:t>
            </w:r>
            <w:proofErr w:type="spellStart"/>
            <w:r w:rsidRPr="00E96555">
              <w:rPr>
                <w:rFonts w:ascii="Arial" w:eastAsia="Calibri" w:hAnsi="Arial" w:cs="Arial"/>
                <w:color w:val="000000"/>
                <w:sz w:val="20"/>
                <w:szCs w:val="20"/>
                <w:lang w:val="en-US" w:eastAsia="en-GB"/>
              </w:rPr>
              <w:t>OIDC</w:t>
            </w:r>
            <w:proofErr w:type="spellEnd"/>
            <w:r w:rsidRPr="00E96555">
              <w:rPr>
                <w:rFonts w:ascii="Arial" w:eastAsia="Calibri" w:hAnsi="Arial" w:cs="Arial"/>
                <w:color w:val="000000"/>
                <w:sz w:val="20"/>
                <w:szCs w:val="20"/>
                <w:lang w:val="en-US" w:eastAsia="en-GB"/>
              </w:rPr>
              <w:t xml:space="preserve"> Profile.</w:t>
            </w:r>
          </w:p>
        </w:tc>
      </w:tr>
      <w:tr w:rsidR="005015E1" w:rsidRPr="00E96555" w14:paraId="3D945A77" w14:textId="77777777" w:rsidTr="00BE7EA7">
        <w:trPr>
          <w:trHeight w:val="1200"/>
        </w:trPr>
        <w:tc>
          <w:tcPr>
            <w:tcW w:w="1795" w:type="dxa"/>
            <w:shd w:val="clear" w:color="auto" w:fill="DBE5F1" w:themeFill="accent1" w:themeFillTint="33"/>
          </w:tcPr>
          <w:p w14:paraId="4A059612"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MC_ATP_02</w:t>
            </w:r>
          </w:p>
        </w:tc>
        <w:tc>
          <w:tcPr>
            <w:tcW w:w="1324" w:type="dxa"/>
            <w:shd w:val="clear" w:color="auto" w:fill="DBE5F1" w:themeFill="accent1" w:themeFillTint="33"/>
          </w:tcPr>
          <w:p w14:paraId="535B17CA"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Supported Attributes</w:t>
            </w:r>
          </w:p>
        </w:tc>
        <w:tc>
          <w:tcPr>
            <w:tcW w:w="5670" w:type="dxa"/>
            <w:shd w:val="clear" w:color="auto" w:fill="DBE5F1" w:themeFill="accent1" w:themeFillTint="33"/>
          </w:tcPr>
          <w:p w14:paraId="68AC85C2"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The service should support the attributes specified within Table 3. Note that attributes marked as ‘REQUIRED MUST be supported; attributes marked as OPTIONAL MAY be supported (at the Operator’s discretion)</w:t>
            </w:r>
            <w:r w:rsidRPr="00E96555">
              <w:rPr>
                <w:rFonts w:ascii="Arial" w:eastAsia="Calibri" w:hAnsi="Arial" w:cs="Arial"/>
                <w:color w:val="000000"/>
                <w:sz w:val="20"/>
                <w:szCs w:val="20"/>
                <w:lang w:val="en-US" w:eastAsia="en-GB"/>
              </w:rPr>
              <w:br/>
            </w:r>
            <w:r w:rsidRPr="00E96555">
              <w:rPr>
                <w:rFonts w:ascii="Arial" w:eastAsia="Calibri" w:hAnsi="Arial" w:cs="Arial"/>
                <w:color w:val="000000"/>
                <w:sz w:val="20"/>
                <w:szCs w:val="20"/>
                <w:lang w:val="en-US" w:eastAsia="en-GB"/>
              </w:rPr>
              <w:br/>
            </w:r>
            <w:r w:rsidRPr="00E96555">
              <w:rPr>
                <w:rFonts w:ascii="Arial" w:eastAsia="Calibri" w:hAnsi="Arial" w:cs="Arial"/>
                <w:color w:val="000000"/>
                <w:sz w:val="20"/>
                <w:szCs w:val="20"/>
                <w:lang w:eastAsia="en-GB"/>
              </w:rPr>
              <w:lastRenderedPageBreak/>
              <w:t>Note: The Operator may optionally include additional attributes (claims) in the response to provide the SP with further information such as User market segment (pre/post/business/unknown).  This is up to the Operator and out of scope of the Mobile Connect ATP specification.</w:t>
            </w:r>
          </w:p>
        </w:tc>
      </w:tr>
      <w:tr w:rsidR="005015E1" w:rsidRPr="00E96555" w14:paraId="0812F71C" w14:textId="77777777" w:rsidTr="00BE7EA7">
        <w:trPr>
          <w:trHeight w:val="900"/>
        </w:trPr>
        <w:tc>
          <w:tcPr>
            <w:tcW w:w="1795" w:type="dxa"/>
          </w:tcPr>
          <w:p w14:paraId="7F5F4BC9"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MC_ATP_03</w:t>
            </w:r>
          </w:p>
        </w:tc>
        <w:tc>
          <w:tcPr>
            <w:tcW w:w="1324" w:type="dxa"/>
          </w:tcPr>
          <w:p w14:paraId="05EB65F1"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Service Invocation</w:t>
            </w:r>
          </w:p>
        </w:tc>
        <w:tc>
          <w:tcPr>
            <w:tcW w:w="5670" w:type="dxa"/>
          </w:tcPr>
          <w:p w14:paraId="32B29536" w14:textId="43763105"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A </w:t>
            </w:r>
            <w:r w:rsidR="003E04A9">
              <w:rPr>
                <w:rFonts w:ascii="Arial" w:eastAsia="Calibri" w:hAnsi="Arial" w:cs="Arial"/>
                <w:color w:val="000000"/>
                <w:sz w:val="20"/>
                <w:szCs w:val="20"/>
                <w:lang w:val="en-US" w:eastAsia="en-GB"/>
              </w:rPr>
              <w:t>SP</w:t>
            </w:r>
            <w:r w:rsidRPr="00E96555">
              <w:rPr>
                <w:rFonts w:ascii="Arial" w:eastAsia="Calibri" w:hAnsi="Arial" w:cs="Arial"/>
                <w:color w:val="000000"/>
                <w:sz w:val="20"/>
                <w:szCs w:val="20"/>
                <w:lang w:val="en-US" w:eastAsia="en-GB"/>
              </w:rPr>
              <w:t xml:space="preserve"> must be able to request the service through use of the appropriate scope parameter value in the service request as specified in Table 2.</w:t>
            </w:r>
          </w:p>
        </w:tc>
      </w:tr>
      <w:tr w:rsidR="005015E1" w:rsidRPr="00E96555" w14:paraId="72206188" w14:textId="77777777" w:rsidTr="00BE7EA7">
        <w:trPr>
          <w:trHeight w:val="900"/>
        </w:trPr>
        <w:tc>
          <w:tcPr>
            <w:tcW w:w="1795" w:type="dxa"/>
            <w:shd w:val="clear" w:color="auto" w:fill="DBE5F1" w:themeFill="accent1" w:themeFillTint="33"/>
          </w:tcPr>
          <w:p w14:paraId="5A9EB361"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MC_ATP_04</w:t>
            </w:r>
          </w:p>
        </w:tc>
        <w:tc>
          <w:tcPr>
            <w:tcW w:w="1324" w:type="dxa"/>
            <w:shd w:val="clear" w:color="auto" w:fill="DBE5F1" w:themeFill="accent1" w:themeFillTint="33"/>
          </w:tcPr>
          <w:p w14:paraId="155471A6"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Service Modes</w:t>
            </w:r>
          </w:p>
        </w:tc>
        <w:tc>
          <w:tcPr>
            <w:tcW w:w="5670" w:type="dxa"/>
            <w:shd w:val="clear" w:color="auto" w:fill="DBE5F1" w:themeFill="accent1" w:themeFillTint="33"/>
          </w:tcPr>
          <w:p w14:paraId="6398A5E0" w14:textId="1E38A74B"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The service can be implemented either SI mode notification only, SI mode polling only or both, depending on the market requirements. </w:t>
            </w:r>
          </w:p>
        </w:tc>
      </w:tr>
      <w:tr w:rsidR="005015E1" w:rsidRPr="00E96555" w14:paraId="611BDDB0" w14:textId="77777777" w:rsidTr="00BE7EA7">
        <w:trPr>
          <w:trHeight w:val="1180"/>
        </w:trPr>
        <w:tc>
          <w:tcPr>
            <w:tcW w:w="1795" w:type="dxa"/>
          </w:tcPr>
          <w:p w14:paraId="5F4A9278"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MC_ATP_05</w:t>
            </w:r>
          </w:p>
        </w:tc>
        <w:tc>
          <w:tcPr>
            <w:tcW w:w="1324" w:type="dxa"/>
          </w:tcPr>
          <w:p w14:paraId="4AE1ED5E"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Tokens</w:t>
            </w:r>
          </w:p>
        </w:tc>
        <w:tc>
          <w:tcPr>
            <w:tcW w:w="5670" w:type="dxa"/>
          </w:tcPr>
          <w:p w14:paraId="585C1EF1" w14:textId="519FC312"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The ID GW Authorization Server must issue Access Tokens with a zero time-to-live using a very low </w:t>
            </w:r>
            <w:proofErr w:type="gramStart"/>
            <w:r w:rsidRPr="00E96555">
              <w:rPr>
                <w:rFonts w:ascii="Arial" w:eastAsia="Calibri" w:hAnsi="Arial" w:cs="Arial"/>
                <w:color w:val="000000"/>
                <w:sz w:val="20"/>
                <w:szCs w:val="20"/>
                <w:lang w:val="en-US" w:eastAsia="en-GB"/>
              </w:rPr>
              <w:t>value  for</w:t>
            </w:r>
            <w:proofErr w:type="gramEnd"/>
            <w:r w:rsidRPr="00E96555">
              <w:rPr>
                <w:rFonts w:ascii="Arial" w:eastAsia="Calibri" w:hAnsi="Arial" w:cs="Arial"/>
                <w:color w:val="000000"/>
                <w:sz w:val="20"/>
                <w:szCs w:val="20"/>
                <w:lang w:val="en-US" w:eastAsia="en-GB"/>
              </w:rPr>
              <w:t xml:space="preserve"> the </w:t>
            </w:r>
            <w:proofErr w:type="spellStart"/>
            <w:r w:rsidRPr="00E96555">
              <w:rPr>
                <w:rFonts w:ascii="Arial" w:eastAsia="Calibri" w:hAnsi="Arial" w:cs="Arial"/>
                <w:color w:val="000000"/>
                <w:sz w:val="20"/>
                <w:szCs w:val="20"/>
                <w:lang w:val="en-US" w:eastAsia="en-GB"/>
              </w:rPr>
              <w:t>expires_in</w:t>
            </w:r>
            <w:proofErr w:type="spellEnd"/>
            <w:r w:rsidRPr="00E96555">
              <w:rPr>
                <w:rFonts w:ascii="Arial" w:eastAsia="Calibri" w:hAnsi="Arial" w:cs="Arial"/>
                <w:color w:val="000000"/>
                <w:sz w:val="20"/>
                <w:szCs w:val="20"/>
                <w:lang w:val="en-US" w:eastAsia="en-GB"/>
              </w:rPr>
              <w:t xml:space="preserve"> parameter in the Token Response or by restricting it to a single-use token based on the regulatory requirements</w:t>
            </w:r>
            <w:r w:rsidR="00DA580B" w:rsidRPr="00E96555">
              <w:rPr>
                <w:rFonts w:ascii="Arial" w:eastAsia="Calibri" w:hAnsi="Arial" w:cs="Arial"/>
                <w:color w:val="000000"/>
                <w:sz w:val="20"/>
                <w:szCs w:val="20"/>
                <w:lang w:val="en-US" w:eastAsia="en-GB"/>
              </w:rPr>
              <w:t>.</w:t>
            </w:r>
          </w:p>
        </w:tc>
      </w:tr>
      <w:tr w:rsidR="005015E1" w:rsidRPr="00E96555" w14:paraId="772AA6D0" w14:textId="77777777" w:rsidTr="00BE7EA7">
        <w:trPr>
          <w:trHeight w:val="600"/>
        </w:trPr>
        <w:tc>
          <w:tcPr>
            <w:tcW w:w="1795" w:type="dxa"/>
            <w:shd w:val="clear" w:color="auto" w:fill="DBE5F1" w:themeFill="accent1" w:themeFillTint="33"/>
          </w:tcPr>
          <w:p w14:paraId="0514967D"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MC_ATP_06</w:t>
            </w:r>
          </w:p>
        </w:tc>
        <w:tc>
          <w:tcPr>
            <w:tcW w:w="1324" w:type="dxa"/>
            <w:shd w:val="clear" w:color="auto" w:fill="DBE5F1" w:themeFill="accent1" w:themeFillTint="33"/>
          </w:tcPr>
          <w:p w14:paraId="01DDDBF5"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Tokens</w:t>
            </w:r>
          </w:p>
        </w:tc>
        <w:tc>
          <w:tcPr>
            <w:tcW w:w="5670" w:type="dxa"/>
            <w:shd w:val="clear" w:color="auto" w:fill="DBE5F1" w:themeFill="accent1" w:themeFillTint="33"/>
          </w:tcPr>
          <w:p w14:paraId="374BEF5D"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The ID GW must not issue a refresh token for the Mobile Connect Account Takeover Protection service. If it is issued the value must be set to null.</w:t>
            </w:r>
          </w:p>
        </w:tc>
      </w:tr>
      <w:tr w:rsidR="005015E1" w:rsidRPr="00E96555" w14:paraId="5B5F8FA5" w14:textId="77777777" w:rsidTr="00BE7EA7">
        <w:trPr>
          <w:trHeight w:val="900"/>
        </w:trPr>
        <w:tc>
          <w:tcPr>
            <w:tcW w:w="1795" w:type="dxa"/>
            <w:shd w:val="clear" w:color="auto" w:fill="auto"/>
          </w:tcPr>
          <w:p w14:paraId="3A4E7D36"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MC_ATP_07</w:t>
            </w:r>
          </w:p>
        </w:tc>
        <w:tc>
          <w:tcPr>
            <w:tcW w:w="1324" w:type="dxa"/>
            <w:shd w:val="clear" w:color="auto" w:fill="auto"/>
          </w:tcPr>
          <w:p w14:paraId="70266000"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Consent Capture </w:t>
            </w:r>
          </w:p>
        </w:tc>
        <w:tc>
          <w:tcPr>
            <w:tcW w:w="5670" w:type="dxa"/>
            <w:shd w:val="clear" w:color="auto" w:fill="auto"/>
          </w:tcPr>
          <w:p w14:paraId="0B3DC29C" w14:textId="0B3E3590"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Based on the regulatory requirements, contract between SP and Operator, either the Operator or SP must capture consent from the User for the sharing of information within the Mobile Connect ATP service.  For more details refer [9]. </w:t>
            </w:r>
          </w:p>
        </w:tc>
      </w:tr>
      <w:tr w:rsidR="005015E1" w:rsidRPr="00E96555" w14:paraId="17DC58FA" w14:textId="77777777" w:rsidTr="00BE7EA7">
        <w:trPr>
          <w:trHeight w:val="900"/>
        </w:trPr>
        <w:tc>
          <w:tcPr>
            <w:tcW w:w="1795" w:type="dxa"/>
            <w:shd w:val="clear" w:color="auto" w:fill="DBE5F1" w:themeFill="accent1" w:themeFillTint="33"/>
          </w:tcPr>
          <w:p w14:paraId="7C1696E3"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MC_ATP_08</w:t>
            </w:r>
          </w:p>
        </w:tc>
        <w:tc>
          <w:tcPr>
            <w:tcW w:w="1324" w:type="dxa"/>
            <w:shd w:val="clear" w:color="auto" w:fill="DBE5F1" w:themeFill="accent1" w:themeFillTint="33"/>
          </w:tcPr>
          <w:p w14:paraId="09A77C87"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Revocation </w:t>
            </w:r>
          </w:p>
        </w:tc>
        <w:tc>
          <w:tcPr>
            <w:tcW w:w="5670" w:type="dxa"/>
            <w:shd w:val="clear" w:color="auto" w:fill="DBE5F1" w:themeFill="accent1" w:themeFillTint="33"/>
          </w:tcPr>
          <w:p w14:paraId="7960F678" w14:textId="6E41B791" w:rsidR="005015E1" w:rsidRPr="00E96555" w:rsidRDefault="005015E1" w:rsidP="00BE7EA7">
            <w:pPr>
              <w:rPr>
                <w:rFonts w:ascii="Arial" w:hAnsi="Arial" w:cs="Arial"/>
                <w:sz w:val="20"/>
                <w:szCs w:val="20"/>
                <w:lang w:val="en-US" w:eastAsia="en-GB"/>
              </w:rPr>
            </w:pPr>
            <w:r w:rsidRPr="00E96555">
              <w:rPr>
                <w:rFonts w:ascii="Arial" w:eastAsia="Calibri" w:hAnsi="Arial" w:cs="Arial"/>
                <w:color w:val="000000"/>
                <w:sz w:val="20"/>
                <w:szCs w:val="20"/>
                <w:lang w:val="en-US" w:eastAsia="en-GB"/>
              </w:rPr>
              <w:t xml:space="preserve">The Operator should ensure that a </w:t>
            </w:r>
            <w:r w:rsidR="0080390F" w:rsidRPr="00E96555">
              <w:rPr>
                <w:rFonts w:ascii="Arial" w:eastAsia="Calibri" w:hAnsi="Arial" w:cs="Arial"/>
                <w:color w:val="000000"/>
                <w:sz w:val="20"/>
                <w:szCs w:val="20"/>
                <w:lang w:val="en-US" w:eastAsia="en-GB"/>
              </w:rPr>
              <w:t>User</w:t>
            </w:r>
            <w:r w:rsidRPr="00E96555">
              <w:rPr>
                <w:rFonts w:ascii="Arial" w:eastAsia="Calibri" w:hAnsi="Arial" w:cs="Arial"/>
                <w:color w:val="000000"/>
                <w:sz w:val="20"/>
                <w:szCs w:val="20"/>
                <w:lang w:val="en-US" w:eastAsia="en-GB"/>
              </w:rPr>
              <w:t xml:space="preserve"> is able to revoke their consent.</w:t>
            </w:r>
          </w:p>
        </w:tc>
      </w:tr>
      <w:tr w:rsidR="005015E1" w:rsidRPr="00E96555" w14:paraId="39F73101" w14:textId="77777777" w:rsidTr="00BE7EA7">
        <w:trPr>
          <w:trHeight w:val="900"/>
        </w:trPr>
        <w:tc>
          <w:tcPr>
            <w:tcW w:w="1795" w:type="dxa"/>
          </w:tcPr>
          <w:p w14:paraId="7B4E1A33"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MC_ATP_09</w:t>
            </w:r>
          </w:p>
        </w:tc>
        <w:tc>
          <w:tcPr>
            <w:tcW w:w="1324" w:type="dxa"/>
          </w:tcPr>
          <w:p w14:paraId="7E501D3F"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Consent Failure</w:t>
            </w:r>
          </w:p>
        </w:tc>
        <w:tc>
          <w:tcPr>
            <w:tcW w:w="5670" w:type="dxa"/>
          </w:tcPr>
          <w:p w14:paraId="627EEA81" w14:textId="38EE7A98"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In the situation where an Operator needs to capture </w:t>
            </w:r>
            <w:r w:rsidR="0080390F" w:rsidRPr="00E96555">
              <w:rPr>
                <w:rFonts w:ascii="Arial" w:eastAsia="Calibri" w:hAnsi="Arial" w:cs="Arial"/>
                <w:color w:val="000000"/>
                <w:sz w:val="20"/>
                <w:szCs w:val="20"/>
                <w:lang w:val="en-US" w:eastAsia="en-GB"/>
              </w:rPr>
              <w:t>User</w:t>
            </w:r>
            <w:r w:rsidRPr="00E96555">
              <w:rPr>
                <w:rFonts w:ascii="Arial" w:eastAsia="Calibri" w:hAnsi="Arial" w:cs="Arial"/>
                <w:color w:val="000000"/>
                <w:sz w:val="20"/>
                <w:szCs w:val="20"/>
                <w:lang w:val="en-US" w:eastAsia="en-GB"/>
              </w:rPr>
              <w:t xml:space="preserve"> consent itself within the transaction, the ID GW must return an error, if it is unable to capture the consent from the User as defined Annex A.</w:t>
            </w:r>
          </w:p>
        </w:tc>
      </w:tr>
      <w:tr w:rsidR="005015E1" w:rsidRPr="00E96555" w14:paraId="52BEDB20" w14:textId="77777777" w:rsidTr="00BE7EA7">
        <w:trPr>
          <w:trHeight w:val="1200"/>
        </w:trPr>
        <w:tc>
          <w:tcPr>
            <w:tcW w:w="1795" w:type="dxa"/>
            <w:shd w:val="clear" w:color="auto" w:fill="DBE5F1" w:themeFill="accent1" w:themeFillTint="33"/>
          </w:tcPr>
          <w:p w14:paraId="5B1FBA8B"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MC_ATP_10</w:t>
            </w:r>
          </w:p>
        </w:tc>
        <w:tc>
          <w:tcPr>
            <w:tcW w:w="1324" w:type="dxa"/>
            <w:shd w:val="clear" w:color="auto" w:fill="DBE5F1" w:themeFill="accent1" w:themeFillTint="33"/>
          </w:tcPr>
          <w:p w14:paraId="6B4455C3"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Resource Response</w:t>
            </w:r>
          </w:p>
        </w:tc>
        <w:tc>
          <w:tcPr>
            <w:tcW w:w="5670" w:type="dxa"/>
            <w:shd w:val="clear" w:color="auto" w:fill="DBE5F1" w:themeFill="accent1" w:themeFillTint="33"/>
          </w:tcPr>
          <w:p w14:paraId="379B0FED"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The service should return values for those attributes specified in Table 3 that the Operator is providing in their service to the SP. If the service is unable to provide a value for one of the attributes for a particular User, then the attribute should be returned with an empty value in the Resource Response.</w:t>
            </w:r>
          </w:p>
        </w:tc>
      </w:tr>
      <w:tr w:rsidR="005015E1" w:rsidRPr="00E96555" w14:paraId="0FA2BCB1" w14:textId="77777777" w:rsidTr="00BE7EA7">
        <w:trPr>
          <w:trHeight w:val="1200"/>
        </w:trPr>
        <w:tc>
          <w:tcPr>
            <w:tcW w:w="1795" w:type="dxa"/>
          </w:tcPr>
          <w:p w14:paraId="7EE94744"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MC_ATP_11</w:t>
            </w:r>
          </w:p>
        </w:tc>
        <w:tc>
          <w:tcPr>
            <w:tcW w:w="1324" w:type="dxa"/>
          </w:tcPr>
          <w:p w14:paraId="56600A71"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Resource Response</w:t>
            </w:r>
          </w:p>
        </w:tc>
        <w:tc>
          <w:tcPr>
            <w:tcW w:w="5670" w:type="dxa"/>
          </w:tcPr>
          <w:p w14:paraId="3D7D6BF0"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The ID GW must expose either the </w:t>
            </w:r>
            <w:proofErr w:type="spellStart"/>
            <w:r w:rsidRPr="00E96555">
              <w:rPr>
                <w:rFonts w:ascii="Arial" w:eastAsia="Calibri" w:hAnsi="Arial" w:cs="Arial"/>
                <w:color w:val="000000"/>
                <w:sz w:val="20"/>
                <w:szCs w:val="20"/>
                <w:lang w:val="en-US" w:eastAsia="en-GB"/>
              </w:rPr>
              <w:t>PremiumInfo</w:t>
            </w:r>
            <w:proofErr w:type="spellEnd"/>
            <w:r w:rsidRPr="00E96555">
              <w:rPr>
                <w:rFonts w:ascii="Arial" w:eastAsia="Calibri" w:hAnsi="Arial" w:cs="Arial"/>
                <w:color w:val="000000"/>
                <w:sz w:val="20"/>
                <w:szCs w:val="20"/>
                <w:lang w:val="en-US" w:eastAsia="en-GB"/>
              </w:rPr>
              <w:t xml:space="preserve"> Endpoint or an ATP service specific resource endpoint through which the SP can retrieve the attributes. For more information see the Resource Server Specification [8]. </w:t>
            </w:r>
          </w:p>
        </w:tc>
      </w:tr>
      <w:tr w:rsidR="005015E1" w:rsidRPr="00E96555" w14:paraId="658CC296" w14:textId="77777777" w:rsidTr="00BE7EA7">
        <w:trPr>
          <w:trHeight w:val="1200"/>
        </w:trPr>
        <w:tc>
          <w:tcPr>
            <w:tcW w:w="1795" w:type="dxa"/>
            <w:shd w:val="clear" w:color="auto" w:fill="DBE5F1" w:themeFill="accent1" w:themeFillTint="33"/>
          </w:tcPr>
          <w:p w14:paraId="712D985B"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MC_ATP_12</w:t>
            </w:r>
          </w:p>
        </w:tc>
        <w:tc>
          <w:tcPr>
            <w:tcW w:w="1324" w:type="dxa"/>
            <w:shd w:val="clear" w:color="auto" w:fill="DBE5F1" w:themeFill="accent1" w:themeFillTint="33"/>
          </w:tcPr>
          <w:p w14:paraId="7D3AD4E3"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Prompt Length </w:t>
            </w:r>
          </w:p>
        </w:tc>
        <w:tc>
          <w:tcPr>
            <w:tcW w:w="5670" w:type="dxa"/>
            <w:shd w:val="clear" w:color="auto" w:fill="DBE5F1" w:themeFill="accent1" w:themeFillTint="33"/>
          </w:tcPr>
          <w:p w14:paraId="55061627" w14:textId="1193C901"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hAnsi="Arial" w:cs="Arial"/>
                <w:sz w:val="20"/>
                <w:szCs w:val="20"/>
              </w:rPr>
              <w:t xml:space="preserve">For interoperability purposes the maximum prompt length on the Authentication Device via the selected Authenticator should be &lt;= 220 bytes.  This requirement is applicable if Operator prompts the </w:t>
            </w:r>
            <w:r w:rsidR="0080390F" w:rsidRPr="00E96555">
              <w:rPr>
                <w:rFonts w:ascii="Arial" w:hAnsi="Arial" w:cs="Arial"/>
                <w:sz w:val="20"/>
                <w:szCs w:val="20"/>
              </w:rPr>
              <w:t>User</w:t>
            </w:r>
            <w:r w:rsidRPr="00E96555">
              <w:rPr>
                <w:rFonts w:ascii="Arial" w:hAnsi="Arial" w:cs="Arial"/>
                <w:sz w:val="20"/>
                <w:szCs w:val="20"/>
              </w:rPr>
              <w:t xml:space="preserve"> on their mobile device. </w:t>
            </w:r>
          </w:p>
        </w:tc>
      </w:tr>
      <w:tr w:rsidR="005015E1" w:rsidRPr="00E96555" w14:paraId="22FAC094" w14:textId="77777777" w:rsidTr="00BE7EA7">
        <w:trPr>
          <w:trHeight w:val="2873"/>
        </w:trPr>
        <w:tc>
          <w:tcPr>
            <w:tcW w:w="1795" w:type="dxa"/>
          </w:tcPr>
          <w:p w14:paraId="6411EE53"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lastRenderedPageBreak/>
              <w:t>MC_ATP_12</w:t>
            </w:r>
          </w:p>
        </w:tc>
        <w:tc>
          <w:tcPr>
            <w:tcW w:w="1324" w:type="dxa"/>
          </w:tcPr>
          <w:p w14:paraId="1EF0CD55"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Error Responses</w:t>
            </w:r>
          </w:p>
        </w:tc>
        <w:tc>
          <w:tcPr>
            <w:tcW w:w="5670" w:type="dxa"/>
          </w:tcPr>
          <w:p w14:paraId="1701EDEE" w14:textId="7E769FD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 xml:space="preserve">Error Responses may be returned at different stages of the processing of an </w:t>
            </w:r>
            <w:proofErr w:type="spellStart"/>
            <w:r w:rsidRPr="00E96555">
              <w:rPr>
                <w:rFonts w:ascii="Arial" w:eastAsia="Calibri" w:hAnsi="Arial" w:cs="Arial"/>
                <w:color w:val="000000"/>
                <w:sz w:val="20"/>
                <w:szCs w:val="20"/>
                <w:lang w:val="en-US" w:eastAsia="en-GB"/>
              </w:rPr>
              <w:t>OIDC</w:t>
            </w:r>
            <w:proofErr w:type="spellEnd"/>
            <w:r w:rsidRPr="00E96555">
              <w:rPr>
                <w:rFonts w:ascii="Arial" w:eastAsia="Calibri" w:hAnsi="Arial" w:cs="Arial"/>
                <w:color w:val="000000"/>
                <w:sz w:val="20"/>
                <w:szCs w:val="20"/>
                <w:lang w:val="en-US" w:eastAsia="en-GB"/>
              </w:rPr>
              <w:t xml:space="preserve"> Authorization Request as specified in the MC Device-Initiated </w:t>
            </w:r>
            <w:proofErr w:type="spellStart"/>
            <w:r w:rsidRPr="00E96555">
              <w:rPr>
                <w:rFonts w:ascii="Arial" w:eastAsia="Calibri" w:hAnsi="Arial" w:cs="Arial"/>
                <w:color w:val="000000"/>
                <w:sz w:val="20"/>
                <w:szCs w:val="20"/>
                <w:lang w:val="en-US" w:eastAsia="en-GB"/>
              </w:rPr>
              <w:t>OIDC</w:t>
            </w:r>
            <w:proofErr w:type="spellEnd"/>
            <w:r w:rsidRPr="00E96555">
              <w:rPr>
                <w:rFonts w:ascii="Arial" w:eastAsia="Calibri" w:hAnsi="Arial" w:cs="Arial"/>
                <w:color w:val="000000"/>
                <w:sz w:val="20"/>
                <w:szCs w:val="20"/>
                <w:lang w:val="en-US" w:eastAsia="en-GB"/>
              </w:rPr>
              <w:t xml:space="preserve"> Profile and the MC Server-Initiated </w:t>
            </w:r>
            <w:proofErr w:type="spellStart"/>
            <w:r w:rsidRPr="00E96555">
              <w:rPr>
                <w:rFonts w:ascii="Arial" w:eastAsia="Calibri" w:hAnsi="Arial" w:cs="Arial"/>
                <w:color w:val="000000"/>
                <w:sz w:val="20"/>
                <w:szCs w:val="20"/>
                <w:lang w:val="en-US" w:eastAsia="en-GB"/>
              </w:rPr>
              <w:t>OIDC</w:t>
            </w:r>
            <w:proofErr w:type="spellEnd"/>
            <w:r w:rsidRPr="00E96555">
              <w:rPr>
                <w:rFonts w:ascii="Arial" w:eastAsia="Calibri" w:hAnsi="Arial" w:cs="Arial"/>
                <w:color w:val="000000"/>
                <w:sz w:val="20"/>
                <w:szCs w:val="20"/>
                <w:lang w:val="en-US" w:eastAsia="en-GB"/>
              </w:rPr>
              <w:t xml:space="preserve"> Profile and must be supported for the service.</w:t>
            </w:r>
          </w:p>
          <w:p w14:paraId="401171D8" w14:textId="27DEF2C5"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Errors may also be generated because of processing of the Resource Request at the Resource Server as specified in the Mobile Connect Resource Server document and must be supported for the service.</w:t>
            </w:r>
          </w:p>
          <w:p w14:paraId="78492FA6"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These errors are generic to Mobile Connect services and Mobile Connect attribute services, respectively.</w:t>
            </w:r>
          </w:p>
          <w:p w14:paraId="2AB5FEBF"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Service Specific Error Responses are specified in Annex A.</w:t>
            </w:r>
          </w:p>
        </w:tc>
      </w:tr>
      <w:tr w:rsidR="005015E1" w:rsidRPr="00E96555" w14:paraId="1BA11AD9" w14:textId="77777777" w:rsidTr="00BE7EA7">
        <w:trPr>
          <w:trHeight w:val="3112"/>
        </w:trPr>
        <w:tc>
          <w:tcPr>
            <w:tcW w:w="1795" w:type="dxa"/>
            <w:shd w:val="clear" w:color="auto" w:fill="DBE5F1" w:themeFill="accent1" w:themeFillTint="33"/>
          </w:tcPr>
          <w:p w14:paraId="08BAA36B"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MC_ATP_13</w:t>
            </w:r>
          </w:p>
        </w:tc>
        <w:tc>
          <w:tcPr>
            <w:tcW w:w="1324" w:type="dxa"/>
            <w:shd w:val="clear" w:color="auto" w:fill="DBE5F1" w:themeFill="accent1" w:themeFillTint="33"/>
          </w:tcPr>
          <w:p w14:paraId="7B1BF571" w14:textId="77777777"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Transaction Logs</w:t>
            </w:r>
          </w:p>
        </w:tc>
        <w:tc>
          <w:tcPr>
            <w:tcW w:w="5670" w:type="dxa"/>
            <w:shd w:val="clear" w:color="auto" w:fill="DBE5F1" w:themeFill="accent1" w:themeFillTint="33"/>
          </w:tcPr>
          <w:p w14:paraId="7AA3EB61" w14:textId="2F142631" w:rsidR="005015E1" w:rsidRPr="00E96555" w:rsidRDefault="005015E1" w:rsidP="00BE7EA7">
            <w:pPr>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A complete Mobile Connect transaction log must be maintained, archived and accessible to resolve any disputes in line with local data protection laws and the Operator's data retention policy. For this should include:</w:t>
            </w:r>
          </w:p>
          <w:p w14:paraId="7D89E7D6" w14:textId="77777777" w:rsidR="005015E1" w:rsidRPr="00E96555" w:rsidRDefault="005015E1" w:rsidP="00BE7EA7">
            <w:pPr>
              <w:tabs>
                <w:tab w:val="left" w:pos="171"/>
              </w:tabs>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w:t>
            </w:r>
            <w:r w:rsidRPr="00E96555">
              <w:rPr>
                <w:rFonts w:ascii="Arial" w:eastAsia="Calibri" w:hAnsi="Arial" w:cs="Arial"/>
                <w:color w:val="000000"/>
                <w:sz w:val="20"/>
                <w:szCs w:val="20"/>
                <w:lang w:val="en-US" w:eastAsia="en-GB"/>
              </w:rPr>
              <w:tab/>
              <w:t>Phone number (</w:t>
            </w:r>
            <w:proofErr w:type="spellStart"/>
            <w:r w:rsidRPr="00E96555">
              <w:rPr>
                <w:rFonts w:ascii="Arial" w:eastAsia="Calibri" w:hAnsi="Arial" w:cs="Arial"/>
                <w:color w:val="000000"/>
                <w:sz w:val="20"/>
                <w:szCs w:val="20"/>
                <w:lang w:val="en-US" w:eastAsia="en-GB"/>
              </w:rPr>
              <w:t>MSISDN</w:t>
            </w:r>
            <w:proofErr w:type="spellEnd"/>
            <w:r w:rsidRPr="00E96555">
              <w:rPr>
                <w:rFonts w:ascii="Arial" w:eastAsia="Calibri" w:hAnsi="Arial" w:cs="Arial"/>
                <w:color w:val="000000"/>
                <w:sz w:val="20"/>
                <w:szCs w:val="20"/>
                <w:lang w:val="en-US" w:eastAsia="en-GB"/>
              </w:rPr>
              <w:t>)</w:t>
            </w:r>
          </w:p>
          <w:p w14:paraId="2E9009D5" w14:textId="77777777" w:rsidR="005015E1" w:rsidRPr="00E96555" w:rsidRDefault="005015E1" w:rsidP="00BE7EA7">
            <w:pPr>
              <w:tabs>
                <w:tab w:val="left" w:pos="171"/>
              </w:tabs>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w:t>
            </w:r>
            <w:r w:rsidRPr="00E96555">
              <w:rPr>
                <w:rFonts w:ascii="Arial" w:eastAsia="Calibri" w:hAnsi="Arial" w:cs="Arial"/>
                <w:color w:val="000000"/>
                <w:sz w:val="20"/>
                <w:szCs w:val="20"/>
                <w:lang w:val="en-US" w:eastAsia="en-GB"/>
              </w:rPr>
              <w:tab/>
              <w:t>PCR</w:t>
            </w:r>
          </w:p>
          <w:p w14:paraId="66D60B6A" w14:textId="77777777" w:rsidR="005015E1" w:rsidRPr="00E96555" w:rsidRDefault="005015E1" w:rsidP="00BE7EA7">
            <w:pPr>
              <w:tabs>
                <w:tab w:val="left" w:pos="171"/>
              </w:tabs>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w:t>
            </w:r>
            <w:r w:rsidRPr="00E96555">
              <w:rPr>
                <w:rFonts w:ascii="Arial" w:eastAsia="Calibri" w:hAnsi="Arial" w:cs="Arial"/>
                <w:color w:val="000000"/>
                <w:sz w:val="20"/>
                <w:szCs w:val="20"/>
                <w:lang w:val="en-US" w:eastAsia="en-GB"/>
              </w:rPr>
              <w:tab/>
              <w:t>Date &amp; Time</w:t>
            </w:r>
          </w:p>
          <w:p w14:paraId="3C80D5F2" w14:textId="77777777" w:rsidR="005015E1" w:rsidRPr="00E96555" w:rsidRDefault="005015E1" w:rsidP="00BE7EA7">
            <w:pPr>
              <w:tabs>
                <w:tab w:val="left" w:pos="171"/>
              </w:tabs>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w:t>
            </w:r>
            <w:r w:rsidRPr="00E96555">
              <w:rPr>
                <w:rFonts w:ascii="Arial" w:eastAsia="Calibri" w:hAnsi="Arial" w:cs="Arial"/>
                <w:color w:val="000000"/>
                <w:sz w:val="20"/>
                <w:szCs w:val="20"/>
                <w:lang w:val="en-US" w:eastAsia="en-GB"/>
              </w:rPr>
              <w:tab/>
              <w:t>Service scope</w:t>
            </w:r>
          </w:p>
          <w:p w14:paraId="359C8918" w14:textId="77777777" w:rsidR="005015E1" w:rsidRPr="00E96555" w:rsidRDefault="005015E1" w:rsidP="00BE7EA7">
            <w:pPr>
              <w:tabs>
                <w:tab w:val="left" w:pos="171"/>
              </w:tabs>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w:t>
            </w:r>
            <w:r w:rsidRPr="00E96555">
              <w:rPr>
                <w:rFonts w:ascii="Arial" w:eastAsia="Calibri" w:hAnsi="Arial" w:cs="Arial"/>
                <w:color w:val="000000"/>
                <w:sz w:val="20"/>
                <w:szCs w:val="20"/>
                <w:lang w:val="en-US" w:eastAsia="en-GB"/>
              </w:rPr>
              <w:tab/>
              <w:t>Consent State (active, revoked)</w:t>
            </w:r>
          </w:p>
          <w:p w14:paraId="514431F0" w14:textId="77777777" w:rsidR="005015E1" w:rsidRPr="00E96555" w:rsidRDefault="005015E1" w:rsidP="00BE7EA7">
            <w:pPr>
              <w:tabs>
                <w:tab w:val="left" w:pos="171"/>
              </w:tabs>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w:t>
            </w:r>
            <w:r w:rsidRPr="00E96555">
              <w:rPr>
                <w:rFonts w:ascii="Arial" w:eastAsia="Calibri" w:hAnsi="Arial" w:cs="Arial"/>
                <w:color w:val="000000"/>
                <w:sz w:val="20"/>
                <w:szCs w:val="20"/>
                <w:lang w:val="en-US" w:eastAsia="en-GB"/>
              </w:rPr>
              <w:tab/>
              <w:t xml:space="preserve">Status (Complete, in-process, Error) </w:t>
            </w:r>
          </w:p>
          <w:p w14:paraId="403CA452" w14:textId="77777777" w:rsidR="005015E1" w:rsidRPr="00E96555" w:rsidRDefault="005015E1" w:rsidP="00BE7EA7">
            <w:pPr>
              <w:tabs>
                <w:tab w:val="left" w:pos="171"/>
              </w:tabs>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w:t>
            </w:r>
            <w:r w:rsidRPr="00E96555">
              <w:rPr>
                <w:rFonts w:ascii="Arial" w:eastAsia="Calibri" w:hAnsi="Arial" w:cs="Arial"/>
                <w:color w:val="000000"/>
                <w:sz w:val="20"/>
                <w:szCs w:val="20"/>
                <w:lang w:val="en-US" w:eastAsia="en-GB"/>
              </w:rPr>
              <w:tab/>
              <w:t>Error codes and error description</w:t>
            </w:r>
          </w:p>
          <w:p w14:paraId="7178B959" w14:textId="77777777" w:rsidR="005015E1" w:rsidRPr="00E96555" w:rsidRDefault="005015E1" w:rsidP="00BE7EA7">
            <w:pPr>
              <w:tabs>
                <w:tab w:val="left" w:pos="171"/>
              </w:tabs>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w:t>
            </w:r>
            <w:r w:rsidRPr="00E96555">
              <w:rPr>
                <w:rFonts w:ascii="Arial" w:eastAsia="Calibri" w:hAnsi="Arial" w:cs="Arial"/>
                <w:color w:val="000000"/>
                <w:sz w:val="20"/>
                <w:szCs w:val="20"/>
                <w:lang w:val="en-US" w:eastAsia="en-GB"/>
              </w:rPr>
              <w:tab/>
              <w:t>Time of consent capture (if the Operator captures consent)</w:t>
            </w:r>
          </w:p>
          <w:p w14:paraId="3F6B8A30" w14:textId="77777777" w:rsidR="005015E1" w:rsidRPr="00E96555" w:rsidRDefault="005015E1" w:rsidP="00BE7EA7">
            <w:pPr>
              <w:tabs>
                <w:tab w:val="left" w:pos="171"/>
              </w:tabs>
              <w:autoSpaceDE w:val="0"/>
              <w:autoSpaceDN w:val="0"/>
              <w:adjustRightInd w:val="0"/>
              <w:rPr>
                <w:rFonts w:ascii="Arial" w:eastAsia="Calibri" w:hAnsi="Arial" w:cs="Arial"/>
                <w:color w:val="000000"/>
                <w:sz w:val="20"/>
                <w:szCs w:val="20"/>
                <w:lang w:val="en-US" w:eastAsia="en-GB"/>
              </w:rPr>
            </w:pPr>
            <w:r w:rsidRPr="00E96555">
              <w:rPr>
                <w:rFonts w:ascii="Arial" w:eastAsia="Calibri" w:hAnsi="Arial" w:cs="Arial"/>
                <w:color w:val="000000"/>
                <w:sz w:val="20"/>
                <w:szCs w:val="20"/>
                <w:lang w:val="en-US" w:eastAsia="en-GB"/>
              </w:rPr>
              <w:t>•</w:t>
            </w:r>
            <w:r w:rsidRPr="00E96555">
              <w:rPr>
                <w:rFonts w:ascii="Arial" w:eastAsia="Calibri" w:hAnsi="Arial" w:cs="Arial"/>
                <w:color w:val="000000"/>
                <w:sz w:val="20"/>
                <w:szCs w:val="20"/>
                <w:lang w:val="en-US" w:eastAsia="en-GB"/>
              </w:rPr>
              <w:tab/>
              <w:t>Evidence of consent (as applicable)</w:t>
            </w:r>
          </w:p>
        </w:tc>
      </w:tr>
    </w:tbl>
    <w:p w14:paraId="0E8FAE48" w14:textId="77777777" w:rsidR="005015E1" w:rsidRPr="004B2D20" w:rsidRDefault="005015E1" w:rsidP="005015E1">
      <w:pPr>
        <w:pStyle w:val="TableCaption"/>
        <w:numPr>
          <w:ilvl w:val="0"/>
          <w:numId w:val="1"/>
        </w:numPr>
      </w:pPr>
      <w:bookmarkStart w:id="102" w:name="_Ref528083674"/>
      <w:r w:rsidRPr="004B2D20">
        <w:t xml:space="preserve">: Mobile Connect Account Takeover Protection </w:t>
      </w:r>
      <w:r>
        <w:t>Service</w:t>
      </w:r>
      <w:r w:rsidRPr="004B2D20">
        <w:t xml:space="preserve"> </w:t>
      </w:r>
      <w:r>
        <w:t>R</w:t>
      </w:r>
      <w:r w:rsidRPr="004B2D20">
        <w:t>equirements</w:t>
      </w:r>
      <w:bookmarkEnd w:id="102"/>
    </w:p>
    <w:p w14:paraId="391DC384" w14:textId="77777777" w:rsidR="005015E1" w:rsidRDefault="005015E1" w:rsidP="005015E1">
      <w:pPr>
        <w:pStyle w:val="Annex"/>
        <w:numPr>
          <w:ilvl w:val="0"/>
          <w:numId w:val="11"/>
        </w:numPr>
      </w:pPr>
      <w:bookmarkStart w:id="103" w:name="BKM_A327AE12_DF24_4E0E_B98F_D515AEC0F01A"/>
      <w:bookmarkStart w:id="104" w:name="BKM_84935A23_279C_444C_A384_785BB22ED272"/>
      <w:bookmarkStart w:id="105" w:name="BKM_DC5463C4_68A2_4056_8A3A_E18210B1A64C"/>
      <w:bookmarkStart w:id="106" w:name="BKM_C95D10A2_98F5_4037_BA71_863113BE8C7E"/>
      <w:bookmarkStart w:id="107" w:name="BKM_7AF1461A_6BD9_4647_B6F0_E095EA7B0014"/>
      <w:bookmarkStart w:id="108" w:name="BKM_4BD92223_B142_433C_AE7B_AD50E2AB8D8F"/>
      <w:bookmarkStart w:id="109" w:name="BKM_82E25F02_D35C_424B_A51F_E1102ED92C9B"/>
      <w:bookmarkStart w:id="110" w:name="_Toc209948274"/>
      <w:bookmarkStart w:id="111" w:name="_Toc327548013"/>
      <w:bookmarkStart w:id="112" w:name="_Toc327548213"/>
      <w:bookmarkStart w:id="113" w:name="_Ref329687100"/>
      <w:bookmarkStart w:id="114" w:name="_Toc466480072"/>
      <w:bookmarkEnd w:id="65"/>
      <w:bookmarkEnd w:id="66"/>
      <w:bookmarkEnd w:id="103"/>
      <w:bookmarkEnd w:id="104"/>
      <w:bookmarkEnd w:id="105"/>
      <w:bookmarkEnd w:id="106"/>
      <w:bookmarkEnd w:id="107"/>
      <w:bookmarkEnd w:id="108"/>
      <w:bookmarkEnd w:id="109"/>
      <w:r w:rsidRPr="004B2D20">
        <w:br w:type="page"/>
      </w:r>
      <w:bookmarkStart w:id="115" w:name="_Ref528135362"/>
      <w:bookmarkStart w:id="116" w:name="_Toc119425902"/>
      <w:bookmarkStart w:id="117" w:name="_Toc519249831"/>
      <w:bookmarkStart w:id="118" w:name="_Toc121260650"/>
      <w:r>
        <w:lastRenderedPageBreak/>
        <w:t>Mobile Connect ATP Service Specific Error Codes and Descriptions</w:t>
      </w:r>
      <w:bookmarkEnd w:id="115"/>
      <w:bookmarkEnd w:id="116"/>
      <w:bookmarkEnd w:id="118"/>
    </w:p>
    <w:p w14:paraId="45E2841B" w14:textId="1C2806F9" w:rsidR="005015E1" w:rsidRDefault="005015E1" w:rsidP="005015E1">
      <w:pPr>
        <w:pStyle w:val="NormalParagraph"/>
      </w:pPr>
      <w:bookmarkStart w:id="119" w:name="_Hlk536605077"/>
      <w:bookmarkEnd w:id="117"/>
      <w:r>
        <w:t xml:space="preserve">This Annex lists the service-specific error codes and associated descriptions that are REQUIRED for the service in addition to the generic error codes and descriptions that are specified in the relevant </w:t>
      </w:r>
      <w:proofErr w:type="spellStart"/>
      <w:r>
        <w:t>OIDC</w:t>
      </w:r>
      <w:proofErr w:type="spellEnd"/>
      <w:r>
        <w:t xml:space="preserve"> Profiles (MC Device-Initiated </w:t>
      </w:r>
      <w:proofErr w:type="spellStart"/>
      <w:r>
        <w:t>OIDC</w:t>
      </w:r>
      <w:proofErr w:type="spellEnd"/>
      <w:r>
        <w:t xml:space="preserve"> Profile </w:t>
      </w:r>
      <w:r>
        <w:fldChar w:fldCharType="begin"/>
      </w:r>
      <w:r>
        <w:instrText xml:space="preserve"> REF _Ref528057645 \r \h </w:instrText>
      </w:r>
      <w:r>
        <w:fldChar w:fldCharType="separate"/>
      </w:r>
      <w:r w:rsidR="00847406">
        <w:t>[6]</w:t>
      </w:r>
      <w:r>
        <w:fldChar w:fldCharType="end"/>
      </w:r>
      <w:r>
        <w:t xml:space="preserve"> and MC Server-Initiated </w:t>
      </w:r>
      <w:proofErr w:type="spellStart"/>
      <w:r>
        <w:t>OIDC</w:t>
      </w:r>
      <w:proofErr w:type="spellEnd"/>
      <w:r>
        <w:t xml:space="preserve"> Profile </w:t>
      </w:r>
      <w:r>
        <w:fldChar w:fldCharType="begin"/>
      </w:r>
      <w:r>
        <w:instrText xml:space="preserve"> REF _Ref528056728 \r \h </w:instrText>
      </w:r>
      <w:r>
        <w:fldChar w:fldCharType="separate"/>
      </w:r>
      <w:r w:rsidR="00847406">
        <w:t>[7]</w:t>
      </w:r>
      <w:r>
        <w:fldChar w:fldCharType="end"/>
      </w:r>
      <w:r>
        <w:t xml:space="preserve">) and the Resource Server Specification </w:t>
      </w:r>
      <w:r>
        <w:fldChar w:fldCharType="begin"/>
      </w:r>
      <w:r>
        <w:instrText xml:space="preserve"> REF _Ref528057683 \r \h </w:instrText>
      </w:r>
      <w:r>
        <w:fldChar w:fldCharType="separate"/>
      </w:r>
      <w:r w:rsidR="00847406">
        <w:t>[8]</w:t>
      </w:r>
      <w:r>
        <w:fldChar w:fldCharType="end"/>
      </w:r>
      <w:r>
        <w:t>.</w:t>
      </w:r>
    </w:p>
    <w:p w14:paraId="1DF2E1E4" w14:textId="3804977E" w:rsidR="005015E1" w:rsidRDefault="005015E1" w:rsidP="00BB0606">
      <w:pPr>
        <w:pStyle w:val="NOTE"/>
      </w:pPr>
      <w:r>
        <w:t>Note</w:t>
      </w:r>
      <w:r w:rsidR="00F22D69">
        <w:t>:</w:t>
      </w:r>
      <w:r w:rsidR="00F22D69">
        <w:tab/>
        <w:t>T</w:t>
      </w:r>
      <w:r>
        <w:t>hat error codes relating to transaction consent capture via a Mobile Connect authenticator are only applicable if the Operator captures transactional consent.</w:t>
      </w:r>
      <w:r w:rsidDel="00735F31">
        <w:t xml:space="preserve"> </w:t>
      </w:r>
      <w:r w:rsidR="00F22D69">
        <w:t>W</w:t>
      </w:r>
      <w:r>
        <w:t xml:space="preserve">here transactional consent capture by the Operator is required, </w:t>
      </w:r>
      <w:bookmarkEnd w:id="119"/>
      <w:r>
        <w:rPr>
          <w:rFonts w:cs="Arial"/>
          <w:lang w:bidi="bn-BD"/>
        </w:rPr>
        <w:t>certain error codes are generated depending on whether the implementation of Mobile Connect Account Takeover Protection requires a single page to be displayed or two pages to be displayed on the User’s Authentication Device. The default is for a single page to be displayed but there may be a requirement in certain regulatory environments to use a two-page approach. A two-page environment involves a</w:t>
      </w:r>
      <w:r w:rsidRPr="00266DE8">
        <w:rPr>
          <w:rFonts w:cs="Arial"/>
          <w:lang w:bidi="bn-BD"/>
        </w:rPr>
        <w:t>uthenticat</w:t>
      </w:r>
      <w:r>
        <w:rPr>
          <w:rFonts w:cs="Arial"/>
          <w:lang w:bidi="bn-BD"/>
        </w:rPr>
        <w:t>ing</w:t>
      </w:r>
      <w:r w:rsidRPr="00266DE8">
        <w:rPr>
          <w:rFonts w:cs="Arial"/>
          <w:lang w:bidi="bn-BD"/>
        </w:rPr>
        <w:t xml:space="preserve"> the </w:t>
      </w:r>
      <w:r>
        <w:rPr>
          <w:rFonts w:cs="Arial"/>
          <w:lang w:bidi="bn-BD"/>
        </w:rPr>
        <w:t>User</w:t>
      </w:r>
      <w:r w:rsidRPr="00266DE8">
        <w:rPr>
          <w:rFonts w:cs="Arial"/>
          <w:lang w:bidi="bn-BD"/>
        </w:rPr>
        <w:t xml:space="preserve"> on the first page</w:t>
      </w:r>
      <w:r>
        <w:rPr>
          <w:rFonts w:cs="Arial"/>
          <w:lang w:bidi="bn-BD"/>
        </w:rPr>
        <w:t xml:space="preserve"> and</w:t>
      </w:r>
      <w:r w:rsidRPr="00266DE8">
        <w:rPr>
          <w:rFonts w:cs="Arial"/>
          <w:lang w:bidi="bn-BD"/>
        </w:rPr>
        <w:t xml:space="preserve"> present</w:t>
      </w:r>
      <w:r>
        <w:rPr>
          <w:rFonts w:cs="Arial"/>
          <w:lang w:bidi="bn-BD"/>
        </w:rPr>
        <w:t>ing</w:t>
      </w:r>
      <w:r w:rsidRPr="00266DE8">
        <w:rPr>
          <w:rFonts w:cs="Arial"/>
          <w:lang w:bidi="bn-BD"/>
        </w:rPr>
        <w:t xml:space="preserve"> attributes related information and </w:t>
      </w:r>
      <w:r>
        <w:rPr>
          <w:rFonts w:cs="Arial"/>
          <w:lang w:bidi="bn-BD"/>
        </w:rPr>
        <w:t>seeking User consent on the second page.</w:t>
      </w:r>
      <w:bookmarkStart w:id="120" w:name="_Toc519176407"/>
      <w:bookmarkEnd w:id="120"/>
    </w:p>
    <w:p w14:paraId="274C7E2F" w14:textId="77777777" w:rsidR="005015E1" w:rsidRPr="00C63B27" w:rsidRDefault="005015E1" w:rsidP="005015E1">
      <w:pPr>
        <w:pStyle w:val="ANNEX-heading1"/>
        <w:numPr>
          <w:ilvl w:val="1"/>
          <w:numId w:val="11"/>
        </w:numPr>
      </w:pPr>
      <w:bookmarkStart w:id="121" w:name="_Toc26701078"/>
      <w:bookmarkStart w:id="122" w:name="_Toc26701795"/>
      <w:bookmarkStart w:id="123" w:name="_Toc531258088"/>
      <w:bookmarkStart w:id="124" w:name="_Toc119425903"/>
      <w:bookmarkStart w:id="125" w:name="_Toc121260651"/>
      <w:bookmarkEnd w:id="121"/>
      <w:bookmarkEnd w:id="122"/>
      <w:r>
        <w:t>Error Responses in Server-Initiated Mode</w:t>
      </w:r>
      <w:bookmarkEnd w:id="123"/>
      <w:bookmarkEnd w:id="124"/>
      <w:bookmarkEnd w:id="125"/>
    </w:p>
    <w:p w14:paraId="3C91A226" w14:textId="77777777" w:rsidR="005015E1" w:rsidRDefault="005015E1" w:rsidP="005015E1">
      <w:pPr>
        <w:pStyle w:val="NormalParagraph"/>
      </w:pPr>
      <w:r w:rsidRPr="00400045">
        <w:t xml:space="preserve">MC ATP </w:t>
      </w:r>
      <w:r>
        <w:t>typically</w:t>
      </w:r>
      <w:r w:rsidRPr="00400045">
        <w:t xml:space="preserve"> operate</w:t>
      </w:r>
      <w:r>
        <w:t>s</w:t>
      </w:r>
      <w:r w:rsidRPr="00400045">
        <w:t xml:space="preserve"> in </w:t>
      </w:r>
      <w:r>
        <w:t>S</w:t>
      </w:r>
      <w:r w:rsidRPr="00400045">
        <w:t>erver-</w:t>
      </w:r>
      <w:r>
        <w:t>I</w:t>
      </w:r>
      <w:r w:rsidRPr="00400045">
        <w:t xml:space="preserve">nitiated mode. By default, no prompt will be displayed to the </w:t>
      </w:r>
      <w:r>
        <w:t xml:space="preserve">User unless the Operator’s </w:t>
      </w:r>
      <w:r w:rsidRPr="00400045">
        <w:t xml:space="preserve">ID GW policy mandates the capture of </w:t>
      </w:r>
      <w:r>
        <w:t>User c</w:t>
      </w:r>
      <w:r w:rsidRPr="00400045">
        <w:t xml:space="preserve">onsent. </w:t>
      </w:r>
    </w:p>
    <w:p w14:paraId="3A0653D0" w14:textId="0CCD76CC" w:rsidR="005015E1" w:rsidRDefault="005015E1" w:rsidP="005015E1">
      <w:pPr>
        <w:pStyle w:val="NormalParagraph"/>
      </w:pPr>
      <w:r>
        <w:t xml:space="preserve">Errors are returned as described in the Mobile Connect Server-Initiated </w:t>
      </w:r>
      <w:proofErr w:type="spellStart"/>
      <w:r>
        <w:t>OIDC</w:t>
      </w:r>
      <w:proofErr w:type="spellEnd"/>
      <w:r>
        <w:t xml:space="preserve"> Profile </w:t>
      </w:r>
      <w:r>
        <w:fldChar w:fldCharType="begin"/>
      </w:r>
      <w:r>
        <w:instrText xml:space="preserve"> REF _Ref528056728 \r \h </w:instrText>
      </w:r>
      <w:r>
        <w:fldChar w:fldCharType="separate"/>
      </w:r>
      <w:r w:rsidR="00847406">
        <w:t>[7]</w:t>
      </w:r>
      <w:r>
        <w:fldChar w:fldCharType="end"/>
      </w:r>
      <w:r>
        <w:t>.</w:t>
      </w:r>
    </w:p>
    <w:p w14:paraId="1FCA1B65" w14:textId="77777777" w:rsidR="005015E1" w:rsidRPr="00400045" w:rsidRDefault="005015E1" w:rsidP="005015E1">
      <w:pPr>
        <w:pStyle w:val="NormalParagraph"/>
      </w:pPr>
      <w:r>
        <w:t>The following tables show the possible error codes and descriptions related to the Mobile Connect Account Takeover Protection service for Server-Initiated requests using either Notification or Polling for token retrieval.</w:t>
      </w:r>
    </w:p>
    <w:p w14:paraId="2789BA73" w14:textId="77777777" w:rsidR="005015E1" w:rsidRPr="00400045" w:rsidRDefault="005015E1" w:rsidP="005015E1">
      <w:pPr>
        <w:pStyle w:val="ANNEX-heading2"/>
        <w:numPr>
          <w:ilvl w:val="2"/>
          <w:numId w:val="11"/>
        </w:numPr>
      </w:pPr>
      <w:r w:rsidRPr="00C63B27">
        <w:t xml:space="preserve"> </w:t>
      </w:r>
      <w:bookmarkStart w:id="126" w:name="_Toc531258089"/>
      <w:bookmarkStart w:id="127" w:name="_Toc119425904"/>
      <w:bookmarkStart w:id="128" w:name="_Toc121260652"/>
      <w:r w:rsidRPr="00C63B27">
        <w:t xml:space="preserve">Error Responses: </w:t>
      </w:r>
      <w:proofErr w:type="spellStart"/>
      <w:r>
        <w:t>OIDC</w:t>
      </w:r>
      <w:proofErr w:type="spellEnd"/>
      <w:r>
        <w:t xml:space="preserve"> Authorization Response</w:t>
      </w:r>
      <w:bookmarkEnd w:id="126"/>
      <w:bookmarkEnd w:id="127"/>
      <w:bookmarkEnd w:id="128"/>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982"/>
        <w:gridCol w:w="1134"/>
        <w:gridCol w:w="2268"/>
        <w:gridCol w:w="2542"/>
      </w:tblGrid>
      <w:tr w:rsidR="005015E1" w:rsidRPr="00400045" w14:paraId="0CC1AB52" w14:textId="77777777" w:rsidTr="002B38A5">
        <w:trPr>
          <w:cantSplit/>
          <w:tblHeader/>
          <w:jc w:val="center"/>
        </w:trPr>
        <w:tc>
          <w:tcPr>
            <w:tcW w:w="2982" w:type="dxa"/>
            <w:tcBorders>
              <w:top w:val="single" w:sz="4" w:space="0" w:color="auto"/>
              <w:left w:val="single" w:sz="4" w:space="0" w:color="auto"/>
              <w:bottom w:val="single" w:sz="4" w:space="0" w:color="auto"/>
              <w:right w:val="single" w:sz="4" w:space="0" w:color="auto"/>
            </w:tcBorders>
            <w:shd w:val="clear" w:color="auto" w:fill="C00000"/>
            <w:hideMark/>
          </w:tcPr>
          <w:p w14:paraId="69C28F90" w14:textId="77777777" w:rsidR="005015E1" w:rsidRPr="00400045" w:rsidRDefault="005015E1" w:rsidP="00BE7EA7">
            <w:pPr>
              <w:pStyle w:val="NormalParagraph"/>
              <w:rPr>
                <w:b/>
                <w:lang w:val="en-US"/>
              </w:rPr>
            </w:pPr>
            <w:r w:rsidRPr="00400045">
              <w:rPr>
                <w:b/>
                <w:lang w:val="en-US"/>
              </w:rPr>
              <w:t>Error Scenario</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14:paraId="680A7395" w14:textId="77777777" w:rsidR="005015E1" w:rsidRPr="00400045" w:rsidRDefault="005015E1" w:rsidP="00BE7EA7">
            <w:pPr>
              <w:pStyle w:val="NormalParagraph"/>
              <w:rPr>
                <w:b/>
                <w:lang w:val="en-US"/>
              </w:rPr>
            </w:pPr>
            <w:r w:rsidRPr="00400045">
              <w:rPr>
                <w:b/>
                <w:lang w:val="en-US"/>
              </w:rPr>
              <w:t>HTTP mode</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74010706" w14:textId="77777777" w:rsidR="005015E1" w:rsidRPr="00400045" w:rsidRDefault="005015E1" w:rsidP="00BE7EA7">
            <w:pPr>
              <w:pStyle w:val="NormalParagraph"/>
              <w:rPr>
                <w:b/>
                <w:lang w:val="en-US"/>
              </w:rPr>
            </w:pPr>
            <w:r w:rsidRPr="00400045">
              <w:rPr>
                <w:b/>
                <w:lang w:val="en-US"/>
              </w:rPr>
              <w:t>Error code</w:t>
            </w:r>
          </w:p>
        </w:tc>
        <w:tc>
          <w:tcPr>
            <w:tcW w:w="2542" w:type="dxa"/>
            <w:tcBorders>
              <w:top w:val="single" w:sz="4" w:space="0" w:color="auto"/>
              <w:left w:val="single" w:sz="4" w:space="0" w:color="auto"/>
              <w:bottom w:val="single" w:sz="4" w:space="0" w:color="auto"/>
              <w:right w:val="single" w:sz="4" w:space="0" w:color="auto"/>
            </w:tcBorders>
            <w:shd w:val="clear" w:color="auto" w:fill="C00000"/>
            <w:hideMark/>
          </w:tcPr>
          <w:p w14:paraId="66776099" w14:textId="77777777" w:rsidR="005015E1" w:rsidRPr="00400045" w:rsidRDefault="005015E1" w:rsidP="00BE7EA7">
            <w:pPr>
              <w:pStyle w:val="NormalParagraph"/>
              <w:rPr>
                <w:b/>
                <w:lang w:val="en-US"/>
              </w:rPr>
            </w:pPr>
            <w:r w:rsidRPr="00400045">
              <w:rPr>
                <w:b/>
                <w:lang w:val="en-US"/>
              </w:rPr>
              <w:t>Error Description [RECOMMENDED text]</w:t>
            </w:r>
          </w:p>
        </w:tc>
      </w:tr>
      <w:tr w:rsidR="005015E1" w:rsidRPr="00400045" w14:paraId="3E0B4504" w14:textId="77777777" w:rsidTr="002B38A5">
        <w:trPr>
          <w:cantSplit/>
          <w:jc w:val="center"/>
        </w:trPr>
        <w:tc>
          <w:tcPr>
            <w:tcW w:w="2982" w:type="dxa"/>
            <w:tcBorders>
              <w:top w:val="single" w:sz="4" w:space="0" w:color="auto"/>
              <w:left w:val="single" w:sz="4" w:space="0" w:color="auto"/>
              <w:bottom w:val="single" w:sz="4" w:space="0" w:color="auto"/>
              <w:right w:val="single" w:sz="4" w:space="0" w:color="auto"/>
            </w:tcBorders>
            <w:hideMark/>
          </w:tcPr>
          <w:p w14:paraId="7CD6252E" w14:textId="77777777" w:rsidR="005015E1" w:rsidRPr="00BB0606" w:rsidRDefault="005015E1" w:rsidP="00BE7EA7">
            <w:pPr>
              <w:pStyle w:val="NormalParagraph"/>
              <w:rPr>
                <w:sz w:val="20"/>
                <w:szCs w:val="20"/>
                <w:lang w:val="en-US"/>
              </w:rPr>
            </w:pPr>
            <w:proofErr w:type="spellStart"/>
            <w:r w:rsidRPr="00BB0606">
              <w:rPr>
                <w:rFonts w:ascii="Courier New" w:hAnsi="Courier New"/>
                <w:sz w:val="20"/>
                <w:szCs w:val="20"/>
              </w:rPr>
              <w:t>client_name</w:t>
            </w:r>
            <w:proofErr w:type="spellEnd"/>
            <w:r w:rsidRPr="00BB0606">
              <w:rPr>
                <w:sz w:val="20"/>
                <w:szCs w:val="20"/>
              </w:rPr>
              <w:t xml:space="preserve"> parameter does not exist, whereas SP has registered multiple client names. </w:t>
            </w:r>
          </w:p>
        </w:tc>
        <w:tc>
          <w:tcPr>
            <w:tcW w:w="1134" w:type="dxa"/>
            <w:tcBorders>
              <w:top w:val="single" w:sz="4" w:space="0" w:color="auto"/>
              <w:left w:val="single" w:sz="4" w:space="0" w:color="auto"/>
              <w:bottom w:val="single" w:sz="4" w:space="0" w:color="auto"/>
              <w:right w:val="single" w:sz="4" w:space="0" w:color="auto"/>
            </w:tcBorders>
            <w:hideMark/>
          </w:tcPr>
          <w:p w14:paraId="3E5D3EFC" w14:textId="77777777" w:rsidR="005015E1" w:rsidRPr="00BB0606" w:rsidRDefault="005015E1" w:rsidP="00BE7EA7">
            <w:pPr>
              <w:pStyle w:val="NormalParagraph"/>
              <w:rPr>
                <w:sz w:val="20"/>
                <w:szCs w:val="20"/>
                <w:lang w:val="en-US"/>
              </w:rPr>
            </w:pPr>
            <w:r w:rsidRPr="00BB0606">
              <w:rPr>
                <w:sz w:val="20"/>
                <w:szCs w:val="20"/>
                <w:lang w:val="en-US"/>
              </w:rPr>
              <w:t>Bad Request 400</w:t>
            </w:r>
          </w:p>
        </w:tc>
        <w:tc>
          <w:tcPr>
            <w:tcW w:w="2268" w:type="dxa"/>
            <w:tcBorders>
              <w:top w:val="single" w:sz="4" w:space="0" w:color="auto"/>
              <w:left w:val="single" w:sz="4" w:space="0" w:color="auto"/>
              <w:bottom w:val="single" w:sz="4" w:space="0" w:color="auto"/>
              <w:right w:val="single" w:sz="4" w:space="0" w:color="auto"/>
            </w:tcBorders>
            <w:hideMark/>
          </w:tcPr>
          <w:p w14:paraId="1A462B55" w14:textId="77777777" w:rsidR="005015E1" w:rsidRPr="00BB0606" w:rsidRDefault="005015E1" w:rsidP="00BE7EA7">
            <w:pPr>
              <w:pStyle w:val="NormalParagraph"/>
              <w:rPr>
                <w:rFonts w:ascii="Courier New" w:hAnsi="Courier New" w:cs="Courier New"/>
                <w:sz w:val="20"/>
                <w:szCs w:val="20"/>
                <w:lang w:val="en-US"/>
              </w:rPr>
            </w:pPr>
            <w:proofErr w:type="spellStart"/>
            <w:r w:rsidRPr="00BB0606">
              <w:rPr>
                <w:rFonts w:ascii="Courier New" w:hAnsi="Courier New" w:cs="Courier New"/>
                <w:sz w:val="20"/>
                <w:szCs w:val="20"/>
                <w:lang w:val="en-US"/>
              </w:rPr>
              <w:t>invalid_request</w:t>
            </w:r>
            <w:proofErr w:type="spellEnd"/>
          </w:p>
        </w:tc>
        <w:tc>
          <w:tcPr>
            <w:tcW w:w="2542" w:type="dxa"/>
            <w:tcBorders>
              <w:top w:val="single" w:sz="4" w:space="0" w:color="auto"/>
              <w:left w:val="single" w:sz="4" w:space="0" w:color="auto"/>
              <w:bottom w:val="single" w:sz="4" w:space="0" w:color="auto"/>
              <w:right w:val="single" w:sz="4" w:space="0" w:color="auto"/>
            </w:tcBorders>
            <w:hideMark/>
          </w:tcPr>
          <w:p w14:paraId="10F910EE" w14:textId="77777777" w:rsidR="005015E1" w:rsidRPr="00BB0606" w:rsidRDefault="005015E1" w:rsidP="00BE7EA7">
            <w:pPr>
              <w:pStyle w:val="NormalParagraph"/>
              <w:rPr>
                <w:sz w:val="20"/>
                <w:szCs w:val="20"/>
                <w:lang w:val="en-US"/>
              </w:rPr>
            </w:pPr>
            <w:r w:rsidRPr="00BB0606">
              <w:rPr>
                <w:sz w:val="20"/>
                <w:szCs w:val="20"/>
              </w:rPr>
              <w:t xml:space="preserve">REQUIRED parameter </w:t>
            </w:r>
            <w:proofErr w:type="spellStart"/>
            <w:r w:rsidRPr="00BB0606">
              <w:rPr>
                <w:rFonts w:ascii="Courier New" w:hAnsi="Courier New"/>
                <w:sz w:val="20"/>
                <w:szCs w:val="20"/>
              </w:rPr>
              <w:t>client_name</w:t>
            </w:r>
            <w:proofErr w:type="spellEnd"/>
            <w:r w:rsidRPr="00BB0606">
              <w:rPr>
                <w:sz w:val="20"/>
                <w:szCs w:val="20"/>
              </w:rPr>
              <w:t xml:space="preserve"> is missing. </w:t>
            </w:r>
          </w:p>
        </w:tc>
      </w:tr>
      <w:tr w:rsidR="005015E1" w:rsidRPr="00400045" w14:paraId="479A3B60" w14:textId="77777777" w:rsidTr="002B38A5">
        <w:trPr>
          <w:cantSplit/>
          <w:jc w:val="center"/>
        </w:trPr>
        <w:tc>
          <w:tcPr>
            <w:tcW w:w="2982" w:type="dxa"/>
            <w:tcBorders>
              <w:top w:val="single" w:sz="4" w:space="0" w:color="auto"/>
              <w:left w:val="single" w:sz="4" w:space="0" w:color="auto"/>
              <w:bottom w:val="single" w:sz="4" w:space="0" w:color="auto"/>
              <w:right w:val="single" w:sz="4" w:space="0" w:color="auto"/>
            </w:tcBorders>
          </w:tcPr>
          <w:p w14:paraId="51637A07" w14:textId="77777777" w:rsidR="005015E1" w:rsidRPr="00BB0606" w:rsidRDefault="005015E1" w:rsidP="00BE7EA7">
            <w:pPr>
              <w:pStyle w:val="NormalParagraph"/>
              <w:rPr>
                <w:rFonts w:ascii="Courier New" w:hAnsi="Courier New" w:cs="Courier New"/>
                <w:sz w:val="20"/>
                <w:szCs w:val="20"/>
                <w:lang w:val="en-US"/>
              </w:rPr>
            </w:pPr>
            <w:proofErr w:type="spellStart"/>
            <w:r w:rsidRPr="00BB0606">
              <w:rPr>
                <w:rFonts w:ascii="Courier New" w:hAnsi="Courier New"/>
                <w:sz w:val="20"/>
                <w:szCs w:val="20"/>
              </w:rPr>
              <w:t>client_name</w:t>
            </w:r>
            <w:proofErr w:type="spellEnd"/>
            <w:r w:rsidRPr="00BB0606">
              <w:rPr>
                <w:rFonts w:ascii="Courier New" w:hAnsi="Courier New"/>
                <w:sz w:val="20"/>
                <w:szCs w:val="20"/>
              </w:rPr>
              <w:t xml:space="preserve"> </w:t>
            </w:r>
            <w:r w:rsidRPr="00BB0606">
              <w:rPr>
                <w:rFonts w:cs="Arial"/>
                <w:sz w:val="20"/>
                <w:szCs w:val="20"/>
              </w:rPr>
              <w:t>exists but is invalid (applicable to both scenarios, where SP has register either single or multiple client names</w:t>
            </w:r>
            <w:r w:rsidRPr="00BB0606">
              <w:rPr>
                <w:rStyle w:val="FootnoteReference"/>
                <w:rFonts w:cs="Arial"/>
                <w:sz w:val="20"/>
                <w:szCs w:val="20"/>
              </w:rPr>
              <w:footnoteReference w:id="3"/>
            </w:r>
            <w:r w:rsidRPr="00BB0606">
              <w:rPr>
                <w:rFonts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04D34A2" w14:textId="77777777" w:rsidR="005015E1" w:rsidRPr="00BB0606" w:rsidRDefault="005015E1" w:rsidP="00BE7EA7">
            <w:pPr>
              <w:pStyle w:val="NormalParagraph"/>
              <w:rPr>
                <w:sz w:val="20"/>
                <w:szCs w:val="20"/>
                <w:lang w:val="en-US"/>
              </w:rPr>
            </w:pPr>
            <w:r w:rsidRPr="00BB0606">
              <w:rPr>
                <w:sz w:val="20"/>
                <w:szCs w:val="20"/>
                <w:lang w:val="en-US"/>
              </w:rPr>
              <w:t>Bad Request 400</w:t>
            </w:r>
          </w:p>
        </w:tc>
        <w:tc>
          <w:tcPr>
            <w:tcW w:w="2268" w:type="dxa"/>
            <w:tcBorders>
              <w:top w:val="single" w:sz="4" w:space="0" w:color="auto"/>
              <w:left w:val="single" w:sz="4" w:space="0" w:color="auto"/>
              <w:bottom w:val="single" w:sz="4" w:space="0" w:color="auto"/>
              <w:right w:val="single" w:sz="4" w:space="0" w:color="auto"/>
            </w:tcBorders>
          </w:tcPr>
          <w:p w14:paraId="5CE91FBD" w14:textId="77777777" w:rsidR="005015E1" w:rsidRPr="00BB0606" w:rsidRDefault="005015E1" w:rsidP="00BE7EA7">
            <w:pPr>
              <w:pStyle w:val="NormalParagraph"/>
              <w:rPr>
                <w:bCs/>
                <w:sz w:val="20"/>
                <w:szCs w:val="20"/>
                <w:lang w:val="en-US"/>
              </w:rPr>
            </w:pPr>
            <w:proofErr w:type="spellStart"/>
            <w:r w:rsidRPr="00BB0606">
              <w:rPr>
                <w:rFonts w:ascii="Courier New" w:hAnsi="Courier New" w:cs="Courier New"/>
                <w:bCs/>
                <w:sz w:val="20"/>
                <w:szCs w:val="20"/>
              </w:rPr>
              <w:t>invalid_request</w:t>
            </w:r>
            <w:proofErr w:type="spellEnd"/>
          </w:p>
        </w:tc>
        <w:tc>
          <w:tcPr>
            <w:tcW w:w="2542" w:type="dxa"/>
            <w:tcBorders>
              <w:top w:val="single" w:sz="4" w:space="0" w:color="auto"/>
              <w:left w:val="single" w:sz="4" w:space="0" w:color="auto"/>
              <w:bottom w:val="single" w:sz="4" w:space="0" w:color="auto"/>
              <w:right w:val="single" w:sz="4" w:space="0" w:color="auto"/>
            </w:tcBorders>
          </w:tcPr>
          <w:p w14:paraId="76737D48" w14:textId="77777777" w:rsidR="005015E1" w:rsidRPr="00BB0606" w:rsidRDefault="005015E1" w:rsidP="00BE7EA7">
            <w:pPr>
              <w:pStyle w:val="NormalParagraph"/>
              <w:rPr>
                <w:sz w:val="20"/>
                <w:szCs w:val="20"/>
                <w:lang w:val="en-US"/>
              </w:rPr>
            </w:pPr>
            <w:r w:rsidRPr="00BB0606">
              <w:rPr>
                <w:sz w:val="20"/>
                <w:szCs w:val="20"/>
              </w:rPr>
              <w:t xml:space="preserve">REQUIRED parameter </w:t>
            </w:r>
            <w:proofErr w:type="spellStart"/>
            <w:r w:rsidRPr="00BB0606">
              <w:rPr>
                <w:sz w:val="20"/>
                <w:szCs w:val="20"/>
              </w:rPr>
              <w:t>client_name</w:t>
            </w:r>
            <w:proofErr w:type="spellEnd"/>
            <w:r w:rsidRPr="00BB0606">
              <w:rPr>
                <w:sz w:val="20"/>
                <w:szCs w:val="20"/>
              </w:rPr>
              <w:t xml:space="preserve"> value is invalid / not registered. </w:t>
            </w:r>
          </w:p>
        </w:tc>
      </w:tr>
    </w:tbl>
    <w:p w14:paraId="02E4B469" w14:textId="15B40D9C" w:rsidR="005015E1" w:rsidRPr="00400045" w:rsidRDefault="005015E1" w:rsidP="005015E1">
      <w:pPr>
        <w:pStyle w:val="TableCaption"/>
        <w:numPr>
          <w:ilvl w:val="0"/>
          <w:numId w:val="1"/>
        </w:numPr>
      </w:pPr>
      <w:r w:rsidRPr="00400045">
        <w:lastRenderedPageBreak/>
        <w:t xml:space="preserve">: Errors – Server-Initiated </w:t>
      </w:r>
      <w:r>
        <w:t>Authorization Response</w:t>
      </w:r>
    </w:p>
    <w:p w14:paraId="1AE9CE27" w14:textId="77777777" w:rsidR="005015E1" w:rsidRPr="00400045" w:rsidRDefault="005015E1" w:rsidP="005015E1">
      <w:pPr>
        <w:pStyle w:val="ANNEX-heading2"/>
        <w:numPr>
          <w:ilvl w:val="2"/>
          <w:numId w:val="11"/>
        </w:numPr>
      </w:pPr>
      <w:bookmarkStart w:id="129" w:name="_Toc531258090"/>
      <w:bookmarkStart w:id="130" w:name="_Toc119425905"/>
      <w:bookmarkStart w:id="131" w:name="_Toc121260653"/>
      <w:r w:rsidRPr="00D412B9">
        <w:t xml:space="preserve">Error Responses: </w:t>
      </w:r>
      <w:r>
        <w:t>Notification</w:t>
      </w:r>
      <w:bookmarkEnd w:id="129"/>
      <w:bookmarkEnd w:id="130"/>
      <w:bookmarkEnd w:id="1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1"/>
        <w:gridCol w:w="2268"/>
        <w:gridCol w:w="2835"/>
      </w:tblGrid>
      <w:tr w:rsidR="005015E1" w:rsidRPr="00400045" w14:paraId="33529F01" w14:textId="77777777" w:rsidTr="002B38A5">
        <w:trPr>
          <w:cantSplit/>
          <w:tblHeader/>
          <w:jc w:val="center"/>
        </w:trPr>
        <w:tc>
          <w:tcPr>
            <w:tcW w:w="3691" w:type="dxa"/>
            <w:tcBorders>
              <w:top w:val="single" w:sz="4" w:space="0" w:color="auto"/>
              <w:left w:val="single" w:sz="4" w:space="0" w:color="auto"/>
              <w:bottom w:val="single" w:sz="4" w:space="0" w:color="auto"/>
              <w:right w:val="single" w:sz="4" w:space="0" w:color="auto"/>
            </w:tcBorders>
            <w:shd w:val="clear" w:color="auto" w:fill="C00000"/>
            <w:hideMark/>
          </w:tcPr>
          <w:p w14:paraId="169675E1" w14:textId="77777777" w:rsidR="005015E1" w:rsidRPr="00400045" w:rsidRDefault="005015E1" w:rsidP="00BE7EA7">
            <w:pPr>
              <w:pStyle w:val="NormalParagraph"/>
              <w:rPr>
                <w:b/>
                <w:lang w:val="en-US"/>
              </w:rPr>
            </w:pPr>
            <w:r w:rsidRPr="00400045">
              <w:rPr>
                <w:b/>
                <w:lang w:val="en-US"/>
              </w:rPr>
              <w:t>Error Scenario</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2534FCB3" w14:textId="77777777" w:rsidR="005015E1" w:rsidRPr="00400045" w:rsidRDefault="005015E1" w:rsidP="00BE7EA7">
            <w:pPr>
              <w:pStyle w:val="NormalParagraph"/>
              <w:rPr>
                <w:b/>
                <w:lang w:val="en-US"/>
              </w:rPr>
            </w:pPr>
            <w:r w:rsidRPr="00400045">
              <w:rPr>
                <w:b/>
                <w:lang w:val="en-US"/>
              </w:rPr>
              <w:t>Error code</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7CCF2F32" w14:textId="77777777" w:rsidR="005015E1" w:rsidRPr="00400045" w:rsidRDefault="005015E1" w:rsidP="00BE7EA7">
            <w:pPr>
              <w:pStyle w:val="NormalParagraph"/>
              <w:rPr>
                <w:b/>
                <w:lang w:val="en-US"/>
              </w:rPr>
            </w:pPr>
            <w:r w:rsidRPr="00400045">
              <w:rPr>
                <w:b/>
                <w:lang w:val="en-US"/>
              </w:rPr>
              <w:t>Error Description [RECOMMENDED text]</w:t>
            </w:r>
          </w:p>
        </w:tc>
      </w:tr>
      <w:tr w:rsidR="005015E1" w:rsidRPr="00400045" w14:paraId="239F3BCD" w14:textId="77777777" w:rsidTr="002B38A5">
        <w:trPr>
          <w:cantSplit/>
          <w:jc w:val="center"/>
        </w:trPr>
        <w:tc>
          <w:tcPr>
            <w:tcW w:w="3691" w:type="dxa"/>
            <w:tcBorders>
              <w:top w:val="single" w:sz="4" w:space="0" w:color="auto"/>
              <w:left w:val="single" w:sz="4" w:space="0" w:color="auto"/>
              <w:bottom w:val="single" w:sz="4" w:space="0" w:color="auto"/>
              <w:right w:val="single" w:sz="4" w:space="0" w:color="auto"/>
            </w:tcBorders>
            <w:hideMark/>
          </w:tcPr>
          <w:p w14:paraId="03AABD5D" w14:textId="77777777" w:rsidR="005015E1" w:rsidRPr="00BB0606" w:rsidRDefault="005015E1" w:rsidP="00BE7EA7">
            <w:pPr>
              <w:pStyle w:val="NormalParagraph"/>
              <w:rPr>
                <w:sz w:val="20"/>
                <w:szCs w:val="20"/>
                <w:lang w:val="en-US"/>
              </w:rPr>
            </w:pPr>
            <w:r w:rsidRPr="00BB0606">
              <w:rPr>
                <w:sz w:val="20"/>
                <w:szCs w:val="20"/>
                <w:lang w:val="en-US"/>
              </w:rPr>
              <w:t>In a single-page environment, the User failed to give consent (or) the ID GW was unable to authenticate the User (authentication failure).</w:t>
            </w:r>
          </w:p>
        </w:tc>
        <w:tc>
          <w:tcPr>
            <w:tcW w:w="2268" w:type="dxa"/>
            <w:tcBorders>
              <w:top w:val="single" w:sz="4" w:space="0" w:color="auto"/>
              <w:left w:val="single" w:sz="4" w:space="0" w:color="auto"/>
              <w:bottom w:val="single" w:sz="4" w:space="0" w:color="auto"/>
              <w:right w:val="single" w:sz="4" w:space="0" w:color="auto"/>
            </w:tcBorders>
            <w:hideMark/>
          </w:tcPr>
          <w:p w14:paraId="482F3DA6" w14:textId="77777777" w:rsidR="005015E1" w:rsidRPr="00BB0606" w:rsidRDefault="005015E1" w:rsidP="00BE7EA7">
            <w:pPr>
              <w:pStyle w:val="NormalParagraph"/>
              <w:rPr>
                <w:sz w:val="20"/>
                <w:szCs w:val="20"/>
                <w:lang w:val="en-US"/>
              </w:rPr>
            </w:pPr>
            <w:proofErr w:type="spellStart"/>
            <w:r w:rsidRPr="00F22D69">
              <w:rPr>
                <w:rFonts w:ascii="Courier New" w:hAnsi="Courier New" w:cs="Courier New"/>
                <w:sz w:val="20"/>
                <w:szCs w:val="20"/>
                <w:lang w:val="en-US"/>
              </w:rPr>
              <w:t>consent_failure</w:t>
            </w:r>
            <w:proofErr w:type="spellEnd"/>
            <w:r w:rsidRPr="00F22D69">
              <w:rPr>
                <w:rFonts w:ascii="Courier New" w:hAnsi="Courier New" w:cs="Courier New"/>
                <w:sz w:val="20"/>
                <w:szCs w:val="20"/>
                <w:lang w:val="en-US"/>
              </w:rPr>
              <w:t xml:space="preserve"> </w:t>
            </w:r>
            <w:r w:rsidRPr="00317EEA">
              <w:rPr>
                <w:rFonts w:ascii="Courier New" w:hAnsi="Courier New" w:cs="Courier New"/>
                <w:sz w:val="20"/>
                <w:szCs w:val="20"/>
                <w:lang w:val="en-US"/>
              </w:rPr>
              <w:t xml:space="preserve">(or) </w:t>
            </w:r>
            <w:proofErr w:type="spellStart"/>
            <w:r w:rsidRPr="00317EEA">
              <w:rPr>
                <w:rFonts w:ascii="Courier New" w:hAnsi="Courier New" w:cs="Courier New"/>
                <w:sz w:val="20"/>
                <w:szCs w:val="20"/>
                <w:lang w:val="en-US"/>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75CF13B" w14:textId="77777777" w:rsidR="005015E1" w:rsidRPr="00BB0606" w:rsidRDefault="005015E1" w:rsidP="00BE7EA7">
            <w:pPr>
              <w:pStyle w:val="NormalParagraph"/>
              <w:rPr>
                <w:sz w:val="20"/>
                <w:szCs w:val="20"/>
                <w:lang w:val="en-US"/>
              </w:rPr>
            </w:pPr>
            <w:r w:rsidRPr="00BB0606">
              <w:rPr>
                <w:sz w:val="20"/>
                <w:szCs w:val="20"/>
              </w:rPr>
              <w:t xml:space="preserve">User failed to give consent (or) was not authenticated. </w:t>
            </w:r>
          </w:p>
        </w:tc>
      </w:tr>
      <w:tr w:rsidR="005015E1" w:rsidRPr="00400045" w14:paraId="68688CBE" w14:textId="77777777" w:rsidTr="002B38A5">
        <w:trPr>
          <w:cantSplit/>
          <w:jc w:val="center"/>
        </w:trPr>
        <w:tc>
          <w:tcPr>
            <w:tcW w:w="3691" w:type="dxa"/>
            <w:tcBorders>
              <w:top w:val="single" w:sz="4" w:space="0" w:color="auto"/>
              <w:left w:val="single" w:sz="4" w:space="0" w:color="auto"/>
              <w:bottom w:val="single" w:sz="4" w:space="0" w:color="auto"/>
              <w:right w:val="single" w:sz="4" w:space="0" w:color="auto"/>
            </w:tcBorders>
            <w:hideMark/>
          </w:tcPr>
          <w:p w14:paraId="2EC5F95F" w14:textId="77777777" w:rsidR="005015E1" w:rsidRPr="00BB0606" w:rsidRDefault="005015E1" w:rsidP="00BE7EA7">
            <w:pPr>
              <w:pStyle w:val="NormalParagraph"/>
              <w:rPr>
                <w:sz w:val="20"/>
                <w:szCs w:val="20"/>
                <w:lang w:val="en-US"/>
              </w:rPr>
            </w:pPr>
            <w:r w:rsidRPr="00BB0606">
              <w:rPr>
                <w:sz w:val="20"/>
                <w:szCs w:val="20"/>
              </w:rPr>
              <w:t xml:space="preserve">In a single-page environment, the User </w:t>
            </w:r>
            <w:r w:rsidRPr="00BB0606">
              <w:rPr>
                <w:sz w:val="20"/>
                <w:szCs w:val="20"/>
                <w:lang w:val="en-US"/>
              </w:rPr>
              <w:t>denied the request for consent.</w:t>
            </w:r>
          </w:p>
        </w:tc>
        <w:tc>
          <w:tcPr>
            <w:tcW w:w="2268" w:type="dxa"/>
            <w:tcBorders>
              <w:top w:val="single" w:sz="4" w:space="0" w:color="auto"/>
              <w:left w:val="single" w:sz="4" w:space="0" w:color="auto"/>
              <w:bottom w:val="single" w:sz="4" w:space="0" w:color="auto"/>
              <w:right w:val="single" w:sz="4" w:space="0" w:color="auto"/>
            </w:tcBorders>
            <w:hideMark/>
          </w:tcPr>
          <w:p w14:paraId="7BFC7971" w14:textId="77777777" w:rsidR="005015E1" w:rsidRPr="00BB0606" w:rsidRDefault="005015E1" w:rsidP="00BE7EA7">
            <w:pPr>
              <w:pStyle w:val="NormalParagraph"/>
              <w:rPr>
                <w:sz w:val="20"/>
                <w:szCs w:val="20"/>
                <w:lang w:val="en-US"/>
              </w:rPr>
            </w:pPr>
            <w:proofErr w:type="spellStart"/>
            <w:r w:rsidRPr="00F22D69">
              <w:rPr>
                <w:rFonts w:ascii="Courier New" w:hAnsi="Courier New" w:cs="Courier New"/>
                <w:sz w:val="20"/>
                <w:szCs w:val="20"/>
                <w:lang w:val="en-US"/>
              </w:rPr>
              <w:t>consent_denied</w:t>
            </w:r>
            <w:proofErr w:type="spellEnd"/>
            <w:r w:rsidRPr="00F22D69">
              <w:rPr>
                <w:rFonts w:ascii="Courier New" w:hAnsi="Courier New" w:cs="Courier New"/>
                <w:sz w:val="20"/>
                <w:szCs w:val="20"/>
                <w:lang w:val="en-US"/>
              </w:rPr>
              <w:t xml:space="preserve"> (or) </w:t>
            </w:r>
            <w:proofErr w:type="spellStart"/>
            <w:r w:rsidRPr="00F22D69">
              <w:rPr>
                <w:rFonts w:ascii="Courier New" w:hAnsi="Courier New" w:cs="Courier New"/>
                <w:sz w:val="20"/>
                <w:szCs w:val="20"/>
                <w:lang w:val="en-US"/>
              </w:rPr>
              <w:t>consent_failure</w:t>
            </w:r>
            <w:proofErr w:type="spellEnd"/>
            <w:r w:rsidRPr="00F22D69">
              <w:rPr>
                <w:rFonts w:ascii="Courier New" w:hAnsi="Courier New" w:cs="Courier New"/>
                <w:sz w:val="20"/>
                <w:szCs w:val="20"/>
                <w:lang w:val="en-US"/>
              </w:rPr>
              <w:t xml:space="preserve"> (or) </w:t>
            </w:r>
            <w:proofErr w:type="spellStart"/>
            <w:r w:rsidRPr="00F22D69">
              <w:rPr>
                <w:rFonts w:ascii="Courier New" w:hAnsi="Courier New" w:cs="Courier New"/>
                <w:sz w:val="20"/>
                <w:szCs w:val="20"/>
                <w:lang w:val="en-US"/>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1FCBCC47" w14:textId="77777777" w:rsidR="005015E1" w:rsidRPr="00BB0606" w:rsidRDefault="005015E1" w:rsidP="00BE7EA7">
            <w:pPr>
              <w:pStyle w:val="NormalParagraph"/>
              <w:rPr>
                <w:sz w:val="20"/>
                <w:szCs w:val="20"/>
                <w:lang w:val="en-US"/>
              </w:rPr>
            </w:pPr>
            <w:r w:rsidRPr="00BB0606">
              <w:rPr>
                <w:sz w:val="20"/>
                <w:szCs w:val="20"/>
                <w:lang w:val="en-US"/>
              </w:rPr>
              <w:t>User has not given consent (or) consent failure.</w:t>
            </w:r>
          </w:p>
        </w:tc>
      </w:tr>
      <w:tr w:rsidR="005015E1" w:rsidRPr="00400045" w14:paraId="34B9367D" w14:textId="77777777" w:rsidTr="002B38A5">
        <w:trPr>
          <w:cantSplit/>
          <w:jc w:val="center"/>
        </w:trPr>
        <w:tc>
          <w:tcPr>
            <w:tcW w:w="3691" w:type="dxa"/>
            <w:tcBorders>
              <w:top w:val="single" w:sz="4" w:space="0" w:color="auto"/>
              <w:left w:val="single" w:sz="4" w:space="0" w:color="auto"/>
              <w:bottom w:val="single" w:sz="4" w:space="0" w:color="auto"/>
              <w:right w:val="single" w:sz="4" w:space="0" w:color="auto"/>
            </w:tcBorders>
            <w:hideMark/>
          </w:tcPr>
          <w:p w14:paraId="0DEC43C5" w14:textId="77777777" w:rsidR="005015E1" w:rsidRPr="00BB0606" w:rsidRDefault="005015E1" w:rsidP="00BE7EA7">
            <w:pPr>
              <w:pStyle w:val="NormalParagraph"/>
              <w:rPr>
                <w:sz w:val="20"/>
                <w:szCs w:val="20"/>
                <w:lang w:val="en-US"/>
              </w:rPr>
            </w:pPr>
            <w:r w:rsidRPr="00BB0606">
              <w:rPr>
                <w:sz w:val="20"/>
                <w:szCs w:val="20"/>
              </w:rPr>
              <w:t>The User was unable to give consent – a timeout occurred.</w:t>
            </w:r>
          </w:p>
        </w:tc>
        <w:tc>
          <w:tcPr>
            <w:tcW w:w="2268" w:type="dxa"/>
            <w:tcBorders>
              <w:top w:val="single" w:sz="4" w:space="0" w:color="auto"/>
              <w:left w:val="single" w:sz="4" w:space="0" w:color="auto"/>
              <w:bottom w:val="single" w:sz="4" w:space="0" w:color="auto"/>
              <w:right w:val="single" w:sz="4" w:space="0" w:color="auto"/>
            </w:tcBorders>
            <w:hideMark/>
          </w:tcPr>
          <w:p w14:paraId="3BF0A1E0" w14:textId="77777777" w:rsidR="005015E1" w:rsidRPr="00BB0606" w:rsidRDefault="005015E1" w:rsidP="00BE7EA7">
            <w:pPr>
              <w:pStyle w:val="NormalParagraph"/>
              <w:rPr>
                <w:sz w:val="20"/>
                <w:szCs w:val="20"/>
                <w:lang w:val="en-US"/>
              </w:rPr>
            </w:pPr>
            <w:proofErr w:type="spellStart"/>
            <w:r w:rsidRPr="00F22D69">
              <w:rPr>
                <w:rFonts w:ascii="Courier New" w:hAnsi="Courier New" w:cs="Courier New"/>
                <w:sz w:val="20"/>
                <w:szCs w:val="20"/>
                <w:lang w:val="en-US"/>
              </w:rPr>
              <w:t>consent_failure</w:t>
            </w:r>
            <w:proofErr w:type="spellEnd"/>
            <w:r w:rsidRPr="00F22D69">
              <w:rPr>
                <w:rFonts w:ascii="Courier New" w:hAnsi="Courier New" w:cs="Courier New"/>
                <w:sz w:val="20"/>
                <w:szCs w:val="20"/>
                <w:lang w:val="en-US"/>
              </w:rPr>
              <w:t xml:space="preserve"> (or) </w:t>
            </w:r>
            <w:proofErr w:type="spellStart"/>
            <w:r w:rsidRPr="00F22D69">
              <w:rPr>
                <w:rFonts w:ascii="Courier New" w:hAnsi="Courier New" w:cs="Courier New"/>
                <w:sz w:val="20"/>
                <w:szCs w:val="20"/>
                <w:lang w:val="en-US"/>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197EE8E4" w14:textId="77777777" w:rsidR="005015E1" w:rsidRPr="00BB0606" w:rsidRDefault="005015E1" w:rsidP="00BE7EA7">
            <w:pPr>
              <w:pStyle w:val="NormalParagraph"/>
              <w:rPr>
                <w:sz w:val="20"/>
                <w:szCs w:val="20"/>
                <w:lang w:val="en-US"/>
              </w:rPr>
            </w:pPr>
            <w:r w:rsidRPr="00BB0606">
              <w:rPr>
                <w:sz w:val="20"/>
                <w:szCs w:val="20"/>
                <w:lang w:val="en-US"/>
              </w:rPr>
              <w:t xml:space="preserve">Timeout occurred during consent capture. </w:t>
            </w:r>
          </w:p>
        </w:tc>
      </w:tr>
      <w:tr w:rsidR="005015E1" w:rsidRPr="00400045" w14:paraId="025BAE16" w14:textId="77777777" w:rsidTr="002B38A5">
        <w:trPr>
          <w:cantSplit/>
          <w:jc w:val="center"/>
        </w:trPr>
        <w:tc>
          <w:tcPr>
            <w:tcW w:w="3691" w:type="dxa"/>
            <w:tcBorders>
              <w:top w:val="single" w:sz="4" w:space="0" w:color="auto"/>
              <w:left w:val="single" w:sz="4" w:space="0" w:color="auto"/>
              <w:bottom w:val="single" w:sz="4" w:space="0" w:color="auto"/>
              <w:right w:val="single" w:sz="4" w:space="0" w:color="auto"/>
            </w:tcBorders>
            <w:hideMark/>
          </w:tcPr>
          <w:p w14:paraId="406C3413" w14:textId="77777777" w:rsidR="005015E1" w:rsidRPr="00BB0606" w:rsidRDefault="005015E1" w:rsidP="00BE7EA7">
            <w:pPr>
              <w:pStyle w:val="NormalParagraph"/>
              <w:rPr>
                <w:sz w:val="20"/>
                <w:szCs w:val="20"/>
                <w:lang w:val="en-US"/>
              </w:rPr>
            </w:pPr>
            <w:r w:rsidRPr="00BB0606">
              <w:rPr>
                <w:sz w:val="20"/>
                <w:szCs w:val="20"/>
              </w:rPr>
              <w:t>In a two-page environment, the ID GW failed to authenticate the User on the first page.</w:t>
            </w:r>
          </w:p>
        </w:tc>
        <w:tc>
          <w:tcPr>
            <w:tcW w:w="2268" w:type="dxa"/>
            <w:tcBorders>
              <w:top w:val="single" w:sz="4" w:space="0" w:color="auto"/>
              <w:left w:val="single" w:sz="4" w:space="0" w:color="auto"/>
              <w:bottom w:val="single" w:sz="4" w:space="0" w:color="auto"/>
              <w:right w:val="single" w:sz="4" w:space="0" w:color="auto"/>
            </w:tcBorders>
            <w:hideMark/>
          </w:tcPr>
          <w:p w14:paraId="12168E81" w14:textId="77777777" w:rsidR="005015E1" w:rsidRPr="00BB0606" w:rsidRDefault="005015E1" w:rsidP="00BE7EA7">
            <w:pPr>
              <w:pStyle w:val="NormalParagraph"/>
              <w:rPr>
                <w:sz w:val="20"/>
                <w:szCs w:val="20"/>
                <w:lang w:val="en-US"/>
              </w:rPr>
            </w:pPr>
            <w:proofErr w:type="spellStart"/>
            <w:r w:rsidRPr="00F22D69">
              <w:rPr>
                <w:rFonts w:ascii="Courier New" w:hAnsi="Courier New" w:cs="Courier New"/>
                <w:sz w:val="20"/>
                <w:szCs w:val="20"/>
                <w:lang w:val="en-US"/>
              </w:rPr>
              <w:t>consent_failure</w:t>
            </w:r>
            <w:proofErr w:type="spellEnd"/>
            <w:r w:rsidRPr="00F22D69">
              <w:rPr>
                <w:rFonts w:ascii="Courier New" w:hAnsi="Courier New" w:cs="Courier New"/>
                <w:sz w:val="20"/>
                <w:szCs w:val="20"/>
                <w:lang w:val="en-US"/>
              </w:rPr>
              <w:t xml:space="preserve"> (or) </w:t>
            </w:r>
            <w:proofErr w:type="spellStart"/>
            <w:r w:rsidRPr="00F22D69">
              <w:rPr>
                <w:rFonts w:ascii="Courier New" w:hAnsi="Courier New" w:cs="Courier New"/>
                <w:sz w:val="20"/>
                <w:szCs w:val="20"/>
                <w:lang w:val="en-US"/>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066596ED" w14:textId="77777777" w:rsidR="005015E1" w:rsidRPr="00BB0606" w:rsidRDefault="005015E1" w:rsidP="00BE7EA7">
            <w:pPr>
              <w:pStyle w:val="NormalParagraph"/>
              <w:rPr>
                <w:sz w:val="20"/>
                <w:szCs w:val="20"/>
                <w:lang w:val="en-US"/>
              </w:rPr>
            </w:pPr>
            <w:r w:rsidRPr="00BB0606">
              <w:rPr>
                <w:sz w:val="20"/>
                <w:szCs w:val="20"/>
                <w:lang w:val="en-US"/>
              </w:rPr>
              <w:t xml:space="preserve">User was not authenticated. </w:t>
            </w:r>
          </w:p>
        </w:tc>
      </w:tr>
      <w:tr w:rsidR="005015E1" w:rsidRPr="00400045" w14:paraId="23C0081C" w14:textId="77777777" w:rsidTr="002B38A5">
        <w:trPr>
          <w:cantSplit/>
          <w:jc w:val="center"/>
        </w:trPr>
        <w:tc>
          <w:tcPr>
            <w:tcW w:w="3691" w:type="dxa"/>
            <w:tcBorders>
              <w:top w:val="single" w:sz="4" w:space="0" w:color="auto"/>
              <w:left w:val="single" w:sz="4" w:space="0" w:color="auto"/>
              <w:bottom w:val="single" w:sz="4" w:space="0" w:color="auto"/>
              <w:right w:val="single" w:sz="4" w:space="0" w:color="auto"/>
            </w:tcBorders>
            <w:hideMark/>
          </w:tcPr>
          <w:p w14:paraId="12322703" w14:textId="77777777" w:rsidR="005015E1" w:rsidRPr="00BB0606" w:rsidRDefault="005015E1" w:rsidP="00BE7EA7">
            <w:pPr>
              <w:pStyle w:val="NormalParagraph"/>
              <w:rPr>
                <w:sz w:val="20"/>
                <w:szCs w:val="20"/>
                <w:lang w:val="en-US"/>
              </w:rPr>
            </w:pPr>
            <w:r w:rsidRPr="00BB0606">
              <w:rPr>
                <w:sz w:val="20"/>
                <w:szCs w:val="20"/>
                <w:lang w:val="en-US"/>
              </w:rPr>
              <w:t>In a two-page environment, the User was authenticated in the first step, but denied the request for consent</w:t>
            </w:r>
          </w:p>
        </w:tc>
        <w:tc>
          <w:tcPr>
            <w:tcW w:w="2268" w:type="dxa"/>
            <w:tcBorders>
              <w:top w:val="single" w:sz="4" w:space="0" w:color="auto"/>
              <w:left w:val="single" w:sz="4" w:space="0" w:color="auto"/>
              <w:bottom w:val="single" w:sz="4" w:space="0" w:color="auto"/>
              <w:right w:val="single" w:sz="4" w:space="0" w:color="auto"/>
            </w:tcBorders>
            <w:hideMark/>
          </w:tcPr>
          <w:p w14:paraId="290F473B" w14:textId="77777777" w:rsidR="005015E1" w:rsidRPr="00BB0606" w:rsidRDefault="005015E1" w:rsidP="00BE7EA7">
            <w:pPr>
              <w:pStyle w:val="NormalParagraph"/>
              <w:rPr>
                <w:sz w:val="20"/>
                <w:szCs w:val="20"/>
                <w:lang w:val="en-US"/>
              </w:rPr>
            </w:pPr>
            <w:proofErr w:type="spellStart"/>
            <w:r w:rsidRPr="00F22D69">
              <w:rPr>
                <w:rFonts w:ascii="Courier New" w:hAnsi="Courier New" w:cs="Courier New"/>
                <w:sz w:val="20"/>
                <w:szCs w:val="20"/>
                <w:lang w:val="en-US"/>
              </w:rPr>
              <w:t>consent_denied</w:t>
            </w:r>
            <w:proofErr w:type="spellEnd"/>
            <w:r w:rsidRPr="00F22D69">
              <w:rPr>
                <w:rFonts w:ascii="Courier New" w:hAnsi="Courier New" w:cs="Courier New"/>
                <w:sz w:val="20"/>
                <w:szCs w:val="20"/>
                <w:lang w:val="en-US"/>
              </w:rPr>
              <w:t xml:space="preserve"> (or) </w:t>
            </w:r>
            <w:proofErr w:type="spellStart"/>
            <w:r w:rsidRPr="00317EEA">
              <w:rPr>
                <w:rFonts w:ascii="Courier New" w:hAnsi="Courier New" w:cs="Courier New"/>
                <w:sz w:val="20"/>
                <w:szCs w:val="20"/>
                <w:lang w:val="en-US"/>
              </w:rPr>
              <w:t>consent_failure</w:t>
            </w:r>
            <w:proofErr w:type="spellEnd"/>
            <w:r w:rsidRPr="00317EEA">
              <w:rPr>
                <w:rFonts w:ascii="Courier New" w:hAnsi="Courier New" w:cs="Courier New"/>
                <w:sz w:val="20"/>
                <w:szCs w:val="20"/>
                <w:lang w:val="en-US"/>
              </w:rPr>
              <w:t xml:space="preserve"> (or) </w:t>
            </w:r>
            <w:proofErr w:type="spellStart"/>
            <w:r w:rsidRPr="00304569">
              <w:rPr>
                <w:rFonts w:ascii="Courier New" w:hAnsi="Courier New" w:cs="Courier New"/>
                <w:sz w:val="20"/>
                <w:szCs w:val="20"/>
                <w:lang w:val="en-US"/>
              </w:rPr>
              <w:t>access_den</w:t>
            </w:r>
            <w:r w:rsidRPr="003F1CA8">
              <w:rPr>
                <w:rFonts w:ascii="Courier New" w:hAnsi="Courier New" w:cs="Courier New"/>
                <w:sz w:val="20"/>
                <w:szCs w:val="20"/>
                <w:lang w:val="en-US"/>
              </w:rPr>
              <w:t>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A2C6233" w14:textId="77777777" w:rsidR="005015E1" w:rsidRPr="00BB0606" w:rsidRDefault="005015E1" w:rsidP="00BE7EA7">
            <w:pPr>
              <w:pStyle w:val="NormalParagraph"/>
              <w:rPr>
                <w:sz w:val="20"/>
                <w:szCs w:val="20"/>
                <w:lang w:val="en-US"/>
              </w:rPr>
            </w:pPr>
            <w:r w:rsidRPr="00BB0606">
              <w:rPr>
                <w:sz w:val="20"/>
                <w:szCs w:val="20"/>
                <w:lang w:val="en-US"/>
              </w:rPr>
              <w:t xml:space="preserve">User has not given consent (or) consent failure. </w:t>
            </w:r>
          </w:p>
        </w:tc>
      </w:tr>
    </w:tbl>
    <w:p w14:paraId="1903DBE3" w14:textId="39949F67" w:rsidR="005015E1" w:rsidRPr="00400045" w:rsidRDefault="005015E1" w:rsidP="005015E1">
      <w:pPr>
        <w:pStyle w:val="TableCaption"/>
        <w:numPr>
          <w:ilvl w:val="0"/>
          <w:numId w:val="1"/>
        </w:numPr>
      </w:pPr>
      <w:r w:rsidRPr="00400045">
        <w:t xml:space="preserve">: Errors - Server-Initiated </w:t>
      </w:r>
      <w:r>
        <w:t>Token Response using Notification</w:t>
      </w:r>
    </w:p>
    <w:p w14:paraId="44175268" w14:textId="77777777" w:rsidR="005015E1" w:rsidRPr="004709F5" w:rsidRDefault="005015E1" w:rsidP="005015E1">
      <w:pPr>
        <w:pStyle w:val="ANNEX-heading2"/>
        <w:numPr>
          <w:ilvl w:val="2"/>
          <w:numId w:val="11"/>
        </w:numPr>
      </w:pPr>
      <w:bookmarkStart w:id="132" w:name="_Toc531258091"/>
      <w:bookmarkStart w:id="133" w:name="_Toc119425906"/>
      <w:bookmarkStart w:id="134" w:name="_Toc121260654"/>
      <w:r w:rsidRPr="00C63B27">
        <w:t xml:space="preserve">Error Responses: </w:t>
      </w:r>
      <w:r>
        <w:t>Notification Acknowledgement</w:t>
      </w:r>
      <w:bookmarkEnd w:id="132"/>
      <w:bookmarkEnd w:id="133"/>
      <w:bookmarkEnd w:id="134"/>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0"/>
        <w:gridCol w:w="2155"/>
      </w:tblGrid>
      <w:tr w:rsidR="005015E1" w:rsidRPr="00400045" w14:paraId="2CED9ACE" w14:textId="77777777" w:rsidTr="002B38A5">
        <w:trPr>
          <w:cantSplit/>
          <w:tblHeader/>
          <w:jc w:val="center"/>
        </w:trPr>
        <w:tc>
          <w:tcPr>
            <w:tcW w:w="1764" w:type="pct"/>
            <w:tcBorders>
              <w:top w:val="single" w:sz="4" w:space="0" w:color="auto"/>
              <w:left w:val="single" w:sz="4" w:space="0" w:color="auto"/>
              <w:bottom w:val="single" w:sz="4" w:space="0" w:color="auto"/>
              <w:right w:val="single" w:sz="4" w:space="0" w:color="auto"/>
            </w:tcBorders>
            <w:shd w:val="clear" w:color="auto" w:fill="C00000"/>
            <w:hideMark/>
          </w:tcPr>
          <w:p w14:paraId="4DC1296F" w14:textId="77777777" w:rsidR="005015E1" w:rsidRPr="00400045" w:rsidRDefault="005015E1" w:rsidP="00BE7EA7">
            <w:pPr>
              <w:pStyle w:val="NormalParagraph"/>
              <w:rPr>
                <w:b/>
                <w:lang w:val="en-US"/>
              </w:rPr>
            </w:pPr>
            <w:r w:rsidRPr="00400045">
              <w:rPr>
                <w:b/>
                <w:lang w:val="en-US"/>
              </w:rPr>
              <w:t>Error Scenario</w:t>
            </w:r>
          </w:p>
        </w:tc>
        <w:tc>
          <w:tcPr>
            <w:tcW w:w="802" w:type="pct"/>
            <w:tcBorders>
              <w:top w:val="single" w:sz="4" w:space="0" w:color="auto"/>
              <w:left w:val="single" w:sz="4" w:space="0" w:color="auto"/>
              <w:bottom w:val="single" w:sz="4" w:space="0" w:color="auto"/>
              <w:right w:val="single" w:sz="4" w:space="0" w:color="auto"/>
            </w:tcBorders>
            <w:shd w:val="clear" w:color="auto" w:fill="C00000"/>
            <w:hideMark/>
          </w:tcPr>
          <w:p w14:paraId="065F765F" w14:textId="77777777" w:rsidR="005015E1" w:rsidRPr="00400045" w:rsidRDefault="005015E1" w:rsidP="00BE7EA7">
            <w:pPr>
              <w:pStyle w:val="NormalParagraph"/>
              <w:rPr>
                <w:b/>
                <w:lang w:val="en-US"/>
              </w:rPr>
            </w:pPr>
            <w:r w:rsidRPr="00400045">
              <w:rPr>
                <w:b/>
                <w:lang w:val="en-US"/>
              </w:rPr>
              <w:t>HTTP mode</w:t>
            </w:r>
          </w:p>
        </w:tc>
        <w:tc>
          <w:tcPr>
            <w:tcW w:w="1207" w:type="pct"/>
            <w:tcBorders>
              <w:top w:val="single" w:sz="4" w:space="0" w:color="auto"/>
              <w:left w:val="single" w:sz="4" w:space="0" w:color="auto"/>
              <w:bottom w:val="single" w:sz="4" w:space="0" w:color="auto"/>
              <w:right w:val="single" w:sz="4" w:space="0" w:color="auto"/>
            </w:tcBorders>
            <w:shd w:val="clear" w:color="auto" w:fill="C00000"/>
            <w:hideMark/>
          </w:tcPr>
          <w:p w14:paraId="174CD555" w14:textId="77777777" w:rsidR="005015E1" w:rsidRPr="00400045" w:rsidRDefault="005015E1" w:rsidP="00BE7EA7">
            <w:pPr>
              <w:pStyle w:val="NormalParagraph"/>
              <w:rPr>
                <w:b/>
                <w:lang w:val="en-US"/>
              </w:rPr>
            </w:pPr>
            <w:r w:rsidRPr="00400045">
              <w:rPr>
                <w:b/>
                <w:lang w:val="en-US"/>
              </w:rPr>
              <w:t>Error code</w:t>
            </w:r>
          </w:p>
        </w:tc>
        <w:tc>
          <w:tcPr>
            <w:tcW w:w="1227" w:type="pct"/>
            <w:tcBorders>
              <w:top w:val="single" w:sz="4" w:space="0" w:color="auto"/>
              <w:left w:val="single" w:sz="4" w:space="0" w:color="auto"/>
              <w:bottom w:val="single" w:sz="4" w:space="0" w:color="auto"/>
              <w:right w:val="single" w:sz="4" w:space="0" w:color="auto"/>
            </w:tcBorders>
            <w:shd w:val="clear" w:color="auto" w:fill="C00000"/>
            <w:hideMark/>
          </w:tcPr>
          <w:p w14:paraId="79A0E7E8" w14:textId="77777777" w:rsidR="005015E1" w:rsidRPr="00400045" w:rsidRDefault="005015E1" w:rsidP="00BE7EA7">
            <w:pPr>
              <w:pStyle w:val="NormalParagraph"/>
              <w:rPr>
                <w:b/>
                <w:lang w:val="en-US"/>
              </w:rPr>
            </w:pPr>
            <w:r w:rsidRPr="00400045">
              <w:rPr>
                <w:b/>
                <w:lang w:val="en-US"/>
              </w:rPr>
              <w:t>Error Description [RECOMMENDED text]</w:t>
            </w:r>
          </w:p>
        </w:tc>
      </w:tr>
      <w:tr w:rsidR="005015E1" w:rsidRPr="00400045" w14:paraId="3CEF2FFE" w14:textId="77777777" w:rsidTr="002B38A5">
        <w:trPr>
          <w:cantSplit/>
          <w:tblHeader/>
          <w:jc w:val="center"/>
        </w:trPr>
        <w:tc>
          <w:tcPr>
            <w:tcW w:w="1764" w:type="pct"/>
            <w:tcBorders>
              <w:top w:val="single" w:sz="4" w:space="0" w:color="auto"/>
              <w:left w:val="single" w:sz="4" w:space="0" w:color="auto"/>
              <w:bottom w:val="single" w:sz="4" w:space="0" w:color="auto"/>
              <w:right w:val="single" w:sz="4" w:space="0" w:color="auto"/>
            </w:tcBorders>
            <w:hideMark/>
          </w:tcPr>
          <w:p w14:paraId="32589D7D" w14:textId="77777777" w:rsidR="005015E1" w:rsidRPr="00BB0606" w:rsidRDefault="005015E1" w:rsidP="00BE7EA7">
            <w:pPr>
              <w:pStyle w:val="NormalParagraph"/>
              <w:rPr>
                <w:b/>
                <w:sz w:val="20"/>
                <w:szCs w:val="20"/>
                <w:lang w:val="en-US"/>
              </w:rPr>
            </w:pPr>
            <w:r w:rsidRPr="00F22D69">
              <w:rPr>
                <w:sz w:val="20"/>
                <w:szCs w:val="20"/>
                <w:lang w:val="en-US"/>
              </w:rPr>
              <w:t>Invalid ID Token</w:t>
            </w:r>
          </w:p>
        </w:tc>
        <w:tc>
          <w:tcPr>
            <w:tcW w:w="802" w:type="pct"/>
            <w:tcBorders>
              <w:top w:val="single" w:sz="4" w:space="0" w:color="auto"/>
              <w:left w:val="single" w:sz="4" w:space="0" w:color="auto"/>
              <w:bottom w:val="single" w:sz="4" w:space="0" w:color="auto"/>
              <w:right w:val="single" w:sz="4" w:space="0" w:color="auto"/>
            </w:tcBorders>
            <w:hideMark/>
          </w:tcPr>
          <w:p w14:paraId="0C9E9749" w14:textId="77777777" w:rsidR="005015E1" w:rsidRPr="00BB0606" w:rsidRDefault="005015E1" w:rsidP="00BE7EA7">
            <w:pPr>
              <w:pStyle w:val="NormalParagraph"/>
              <w:rPr>
                <w:sz w:val="20"/>
                <w:szCs w:val="20"/>
                <w:lang w:val="en-US"/>
              </w:rPr>
            </w:pPr>
            <w:r w:rsidRPr="00BB0606">
              <w:rPr>
                <w:sz w:val="20"/>
                <w:szCs w:val="20"/>
                <w:lang w:val="en-US"/>
              </w:rPr>
              <w:t>Bad Request 400</w:t>
            </w:r>
          </w:p>
        </w:tc>
        <w:tc>
          <w:tcPr>
            <w:tcW w:w="1207" w:type="pct"/>
            <w:tcBorders>
              <w:top w:val="single" w:sz="4" w:space="0" w:color="auto"/>
              <w:left w:val="single" w:sz="4" w:space="0" w:color="auto"/>
              <w:bottom w:val="single" w:sz="4" w:space="0" w:color="auto"/>
              <w:right w:val="single" w:sz="4" w:space="0" w:color="auto"/>
            </w:tcBorders>
            <w:hideMark/>
          </w:tcPr>
          <w:p w14:paraId="3B1E7AF3" w14:textId="77777777" w:rsidR="005015E1" w:rsidRPr="00F22D69" w:rsidRDefault="005015E1" w:rsidP="00BE7EA7">
            <w:pPr>
              <w:pStyle w:val="NormalParagraph"/>
              <w:rPr>
                <w:rFonts w:ascii="Courier New" w:hAnsi="Courier New" w:cs="Courier New"/>
                <w:sz w:val="20"/>
                <w:szCs w:val="20"/>
                <w:lang w:val="en-US"/>
              </w:rPr>
            </w:pPr>
            <w:proofErr w:type="spellStart"/>
            <w:r w:rsidRPr="00F22D69">
              <w:rPr>
                <w:rFonts w:ascii="Courier New" w:hAnsi="Courier New" w:cs="Courier New"/>
                <w:sz w:val="20"/>
                <w:szCs w:val="20"/>
                <w:lang w:val="en-US"/>
              </w:rPr>
              <w:t>invalid_request</w:t>
            </w:r>
            <w:proofErr w:type="spellEnd"/>
          </w:p>
        </w:tc>
        <w:tc>
          <w:tcPr>
            <w:tcW w:w="1227" w:type="pct"/>
            <w:tcBorders>
              <w:top w:val="single" w:sz="4" w:space="0" w:color="auto"/>
              <w:left w:val="single" w:sz="4" w:space="0" w:color="auto"/>
              <w:bottom w:val="single" w:sz="4" w:space="0" w:color="auto"/>
              <w:right w:val="single" w:sz="4" w:space="0" w:color="auto"/>
            </w:tcBorders>
            <w:hideMark/>
          </w:tcPr>
          <w:p w14:paraId="1B5F954B" w14:textId="77777777" w:rsidR="005015E1" w:rsidRPr="00BB0606" w:rsidRDefault="005015E1" w:rsidP="00BE7EA7">
            <w:pPr>
              <w:pStyle w:val="NormalParagraph"/>
              <w:rPr>
                <w:sz w:val="20"/>
                <w:szCs w:val="20"/>
                <w:lang w:val="en-US"/>
              </w:rPr>
            </w:pPr>
            <w:r w:rsidRPr="00317EEA">
              <w:rPr>
                <w:sz w:val="20"/>
                <w:szCs w:val="20"/>
                <w:lang w:val="en-US"/>
              </w:rPr>
              <w:t xml:space="preserve">Mobile Connect ID Token is not valid. </w:t>
            </w:r>
          </w:p>
        </w:tc>
      </w:tr>
      <w:tr w:rsidR="005015E1" w:rsidRPr="00400045" w14:paraId="1DD2CF7B" w14:textId="77777777" w:rsidTr="002B38A5">
        <w:trPr>
          <w:cantSplit/>
          <w:tblHeader/>
          <w:jc w:val="center"/>
        </w:trPr>
        <w:tc>
          <w:tcPr>
            <w:tcW w:w="1764" w:type="pct"/>
            <w:tcBorders>
              <w:top w:val="single" w:sz="4" w:space="0" w:color="auto"/>
              <w:left w:val="single" w:sz="4" w:space="0" w:color="auto"/>
              <w:bottom w:val="single" w:sz="4" w:space="0" w:color="auto"/>
              <w:right w:val="single" w:sz="4" w:space="0" w:color="auto"/>
            </w:tcBorders>
            <w:hideMark/>
          </w:tcPr>
          <w:p w14:paraId="3F1103A2" w14:textId="77777777" w:rsidR="005015E1" w:rsidRPr="00BB0606" w:rsidRDefault="005015E1" w:rsidP="00BE7EA7">
            <w:pPr>
              <w:pStyle w:val="NormalParagraph"/>
              <w:rPr>
                <w:sz w:val="20"/>
                <w:szCs w:val="20"/>
                <w:lang w:val="en-US"/>
              </w:rPr>
            </w:pPr>
            <w:r w:rsidRPr="00F22D69">
              <w:rPr>
                <w:sz w:val="20"/>
                <w:szCs w:val="20"/>
                <w:lang w:val="en-US"/>
              </w:rPr>
              <w:t xml:space="preserve">Invalid Access Token and not tied to the ID Token </w:t>
            </w:r>
          </w:p>
        </w:tc>
        <w:tc>
          <w:tcPr>
            <w:tcW w:w="802" w:type="pct"/>
            <w:tcBorders>
              <w:top w:val="single" w:sz="4" w:space="0" w:color="auto"/>
              <w:left w:val="single" w:sz="4" w:space="0" w:color="auto"/>
              <w:bottom w:val="single" w:sz="4" w:space="0" w:color="auto"/>
              <w:right w:val="single" w:sz="4" w:space="0" w:color="auto"/>
            </w:tcBorders>
            <w:hideMark/>
          </w:tcPr>
          <w:p w14:paraId="0AC527F6" w14:textId="77777777" w:rsidR="005015E1" w:rsidRPr="00BB0606" w:rsidRDefault="005015E1" w:rsidP="00BE7EA7">
            <w:pPr>
              <w:pStyle w:val="NormalParagraph"/>
              <w:rPr>
                <w:sz w:val="20"/>
                <w:szCs w:val="20"/>
                <w:lang w:val="en-US"/>
              </w:rPr>
            </w:pPr>
            <w:r w:rsidRPr="00BB0606">
              <w:rPr>
                <w:sz w:val="20"/>
                <w:szCs w:val="20"/>
                <w:lang w:val="en-US"/>
              </w:rPr>
              <w:t>Bad Request 400</w:t>
            </w:r>
          </w:p>
        </w:tc>
        <w:tc>
          <w:tcPr>
            <w:tcW w:w="1207" w:type="pct"/>
            <w:tcBorders>
              <w:top w:val="single" w:sz="4" w:space="0" w:color="auto"/>
              <w:left w:val="single" w:sz="4" w:space="0" w:color="auto"/>
              <w:bottom w:val="single" w:sz="4" w:space="0" w:color="auto"/>
              <w:right w:val="single" w:sz="4" w:space="0" w:color="auto"/>
            </w:tcBorders>
            <w:hideMark/>
          </w:tcPr>
          <w:p w14:paraId="489AAE21" w14:textId="77777777" w:rsidR="005015E1" w:rsidRPr="00F22D69" w:rsidRDefault="005015E1" w:rsidP="00BE7EA7">
            <w:pPr>
              <w:pStyle w:val="NormalParagraph"/>
              <w:rPr>
                <w:rFonts w:ascii="Courier New" w:hAnsi="Courier New" w:cs="Courier New"/>
                <w:sz w:val="20"/>
                <w:szCs w:val="20"/>
                <w:lang w:val="en-US"/>
              </w:rPr>
            </w:pPr>
            <w:proofErr w:type="spellStart"/>
            <w:r w:rsidRPr="00F22D69">
              <w:rPr>
                <w:rFonts w:ascii="Courier New" w:hAnsi="Courier New" w:cs="Courier New"/>
                <w:sz w:val="20"/>
                <w:szCs w:val="20"/>
                <w:lang w:val="en-US"/>
              </w:rPr>
              <w:t>invalid_request</w:t>
            </w:r>
            <w:proofErr w:type="spellEnd"/>
          </w:p>
        </w:tc>
        <w:tc>
          <w:tcPr>
            <w:tcW w:w="1227" w:type="pct"/>
            <w:tcBorders>
              <w:top w:val="single" w:sz="4" w:space="0" w:color="auto"/>
              <w:left w:val="single" w:sz="4" w:space="0" w:color="auto"/>
              <w:bottom w:val="single" w:sz="4" w:space="0" w:color="auto"/>
              <w:right w:val="single" w:sz="4" w:space="0" w:color="auto"/>
            </w:tcBorders>
            <w:hideMark/>
          </w:tcPr>
          <w:p w14:paraId="711716CE" w14:textId="77777777" w:rsidR="005015E1" w:rsidRPr="00BB0606" w:rsidRDefault="005015E1" w:rsidP="00BE7EA7">
            <w:pPr>
              <w:pStyle w:val="NormalParagraph"/>
              <w:rPr>
                <w:sz w:val="20"/>
                <w:szCs w:val="20"/>
                <w:lang w:val="en-US"/>
              </w:rPr>
            </w:pPr>
            <w:r w:rsidRPr="00317EEA">
              <w:rPr>
                <w:sz w:val="20"/>
                <w:szCs w:val="20"/>
                <w:lang w:val="en-US"/>
              </w:rPr>
              <w:t xml:space="preserve">Mobile Connect Access Token is not valid. </w:t>
            </w:r>
          </w:p>
        </w:tc>
      </w:tr>
    </w:tbl>
    <w:p w14:paraId="3B6E51DD" w14:textId="6DFC42AD" w:rsidR="005015E1" w:rsidRDefault="005015E1" w:rsidP="005015E1">
      <w:pPr>
        <w:pStyle w:val="TableCaption"/>
        <w:numPr>
          <w:ilvl w:val="0"/>
          <w:numId w:val="1"/>
        </w:numPr>
      </w:pPr>
      <w:r w:rsidRPr="00400045">
        <w:t xml:space="preserve">: Errors - Server-Initiated </w:t>
      </w:r>
      <w:r>
        <w:t>Notification Acknowledgement</w:t>
      </w:r>
    </w:p>
    <w:p w14:paraId="12475D43" w14:textId="77777777" w:rsidR="005015E1" w:rsidRPr="00845161" w:rsidRDefault="005015E1" w:rsidP="005015E1">
      <w:pPr>
        <w:pStyle w:val="ANNEX-heading2"/>
        <w:numPr>
          <w:ilvl w:val="2"/>
          <w:numId w:val="11"/>
        </w:numPr>
      </w:pPr>
      <w:bookmarkStart w:id="135" w:name="_Toc529636325"/>
      <w:bookmarkStart w:id="136" w:name="_Toc531011935"/>
      <w:bookmarkStart w:id="137" w:name="_Toc119425907"/>
      <w:bookmarkStart w:id="138" w:name="_Toc121260655"/>
      <w:r w:rsidRPr="00845161">
        <w:lastRenderedPageBreak/>
        <w:t xml:space="preserve">Error Responses: </w:t>
      </w:r>
      <w:r>
        <w:t>Polling Response</w:t>
      </w:r>
      <w:bookmarkEnd w:id="135"/>
      <w:bookmarkEnd w:id="136"/>
      <w:bookmarkEnd w:id="137"/>
      <w:bookmarkEnd w:id="138"/>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134"/>
        <w:gridCol w:w="2268"/>
        <w:gridCol w:w="2835"/>
      </w:tblGrid>
      <w:tr w:rsidR="005015E1" w:rsidRPr="00400045" w14:paraId="6186A29A" w14:textId="77777777" w:rsidTr="002B38A5">
        <w:trPr>
          <w:cantSplit/>
          <w:tblHeader/>
          <w:jc w:val="center"/>
        </w:trPr>
        <w:tc>
          <w:tcPr>
            <w:tcW w:w="2840" w:type="dxa"/>
            <w:tcBorders>
              <w:top w:val="single" w:sz="4" w:space="0" w:color="auto"/>
              <w:left w:val="single" w:sz="4" w:space="0" w:color="auto"/>
              <w:bottom w:val="single" w:sz="4" w:space="0" w:color="auto"/>
              <w:right w:val="single" w:sz="4" w:space="0" w:color="auto"/>
            </w:tcBorders>
            <w:shd w:val="clear" w:color="auto" w:fill="C00000"/>
            <w:hideMark/>
          </w:tcPr>
          <w:p w14:paraId="56D17BE0" w14:textId="77777777" w:rsidR="005015E1" w:rsidRPr="00400045" w:rsidRDefault="005015E1" w:rsidP="00BE7EA7">
            <w:pPr>
              <w:pStyle w:val="NormalParagraph"/>
              <w:rPr>
                <w:b/>
                <w:lang w:val="en-US"/>
              </w:rPr>
            </w:pPr>
            <w:r w:rsidRPr="00400045">
              <w:rPr>
                <w:b/>
                <w:lang w:val="en-US"/>
              </w:rPr>
              <w:t>Error Scenario</w:t>
            </w:r>
          </w:p>
        </w:tc>
        <w:tc>
          <w:tcPr>
            <w:tcW w:w="1134" w:type="dxa"/>
            <w:tcBorders>
              <w:top w:val="single" w:sz="4" w:space="0" w:color="auto"/>
              <w:left w:val="single" w:sz="4" w:space="0" w:color="auto"/>
              <w:bottom w:val="single" w:sz="4" w:space="0" w:color="auto"/>
              <w:right w:val="single" w:sz="4" w:space="0" w:color="auto"/>
            </w:tcBorders>
            <w:shd w:val="clear" w:color="auto" w:fill="C00000"/>
          </w:tcPr>
          <w:p w14:paraId="3D8A247B" w14:textId="77777777" w:rsidR="005015E1" w:rsidRPr="00400045" w:rsidRDefault="005015E1" w:rsidP="00BE7EA7">
            <w:pPr>
              <w:pStyle w:val="NormalParagraph"/>
              <w:rPr>
                <w:b/>
                <w:lang w:val="en-US"/>
              </w:rPr>
            </w:pPr>
            <w:r>
              <w:rPr>
                <w:b/>
                <w:lang w:val="en-US"/>
              </w:rPr>
              <w:t>HTTP Mode</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77A64FEE" w14:textId="77777777" w:rsidR="005015E1" w:rsidRPr="00400045" w:rsidRDefault="005015E1" w:rsidP="00BE7EA7">
            <w:pPr>
              <w:pStyle w:val="NormalParagraph"/>
              <w:rPr>
                <w:b/>
                <w:lang w:val="en-US"/>
              </w:rPr>
            </w:pPr>
            <w:r w:rsidRPr="00400045">
              <w:rPr>
                <w:b/>
                <w:lang w:val="en-US"/>
              </w:rPr>
              <w:t>Error code</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42556814" w14:textId="77777777" w:rsidR="005015E1" w:rsidRPr="00400045" w:rsidRDefault="005015E1" w:rsidP="00BE7EA7">
            <w:pPr>
              <w:pStyle w:val="NormalParagraph"/>
              <w:rPr>
                <w:b/>
                <w:lang w:val="en-US"/>
              </w:rPr>
            </w:pPr>
            <w:r w:rsidRPr="00400045">
              <w:rPr>
                <w:b/>
                <w:lang w:val="en-US"/>
              </w:rPr>
              <w:t>Error Description [</w:t>
            </w:r>
            <w:proofErr w:type="spellStart"/>
            <w:r w:rsidRPr="00400045">
              <w:rPr>
                <w:b/>
                <w:lang w:val="en-US"/>
              </w:rPr>
              <w:t>REOMMENDED</w:t>
            </w:r>
            <w:proofErr w:type="spellEnd"/>
            <w:r w:rsidRPr="00400045">
              <w:rPr>
                <w:b/>
                <w:lang w:val="en-US"/>
              </w:rPr>
              <w:t xml:space="preserve"> text]</w:t>
            </w:r>
          </w:p>
        </w:tc>
      </w:tr>
      <w:tr w:rsidR="005015E1" w:rsidRPr="00400045" w14:paraId="6984B6F8" w14:textId="77777777" w:rsidTr="002B38A5">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0518D7E6" w14:textId="77777777" w:rsidR="005015E1" w:rsidRPr="00BB0606" w:rsidRDefault="005015E1" w:rsidP="00BE7EA7">
            <w:pPr>
              <w:pStyle w:val="NormalParagraph"/>
              <w:rPr>
                <w:sz w:val="20"/>
                <w:szCs w:val="20"/>
                <w:lang w:val="en-US"/>
              </w:rPr>
            </w:pPr>
            <w:r w:rsidRPr="00BB0606">
              <w:rPr>
                <w:sz w:val="20"/>
                <w:szCs w:val="20"/>
                <w:lang w:val="en-US"/>
              </w:rPr>
              <w:t>In a single-page environment, the User failed to give consent (or) the ID GW was unable to authenticate the User (authentication failure).</w:t>
            </w:r>
          </w:p>
        </w:tc>
        <w:tc>
          <w:tcPr>
            <w:tcW w:w="1134" w:type="dxa"/>
            <w:tcBorders>
              <w:top w:val="single" w:sz="4" w:space="0" w:color="auto"/>
              <w:left w:val="single" w:sz="4" w:space="0" w:color="auto"/>
              <w:bottom w:val="single" w:sz="4" w:space="0" w:color="auto"/>
              <w:right w:val="single" w:sz="4" w:space="0" w:color="auto"/>
            </w:tcBorders>
          </w:tcPr>
          <w:p w14:paraId="251F3FE3" w14:textId="77777777" w:rsidR="005015E1" w:rsidRPr="00F22D69" w:rsidRDefault="005015E1" w:rsidP="00BE7EA7">
            <w:pPr>
              <w:pStyle w:val="NormalParagraph"/>
              <w:rPr>
                <w:rFonts w:ascii="Courier New" w:hAnsi="Courier New" w:cs="Courier New"/>
                <w:sz w:val="20"/>
                <w:szCs w:val="20"/>
                <w:lang w:val="en-US"/>
              </w:rPr>
            </w:pPr>
            <w:r w:rsidRPr="00F22D69">
              <w:rPr>
                <w:rFonts w:ascii="Courier New" w:hAnsi="Courier New" w:cs="Courier New"/>
                <w:sz w:val="20"/>
                <w:szCs w:val="20"/>
                <w:lang w:val="en-US"/>
              </w:rPr>
              <w:t>Forbidden 403</w:t>
            </w:r>
          </w:p>
        </w:tc>
        <w:tc>
          <w:tcPr>
            <w:tcW w:w="2268" w:type="dxa"/>
            <w:tcBorders>
              <w:top w:val="single" w:sz="4" w:space="0" w:color="auto"/>
              <w:left w:val="single" w:sz="4" w:space="0" w:color="auto"/>
              <w:bottom w:val="single" w:sz="4" w:space="0" w:color="auto"/>
              <w:right w:val="single" w:sz="4" w:space="0" w:color="auto"/>
            </w:tcBorders>
            <w:hideMark/>
          </w:tcPr>
          <w:p w14:paraId="3AE2BD2F" w14:textId="77777777" w:rsidR="005015E1" w:rsidRPr="00317EEA" w:rsidRDefault="005015E1" w:rsidP="00BE7EA7">
            <w:pPr>
              <w:pStyle w:val="TableText"/>
              <w:rPr>
                <w:rFonts w:ascii="Courier New" w:hAnsi="Courier New" w:cs="Courier New"/>
                <w:szCs w:val="20"/>
              </w:rPr>
            </w:pPr>
            <w:proofErr w:type="spellStart"/>
            <w:r w:rsidRPr="00317EEA">
              <w:rPr>
                <w:rFonts w:ascii="Courier New" w:hAnsi="Courier New" w:cs="Courier New"/>
                <w:szCs w:val="20"/>
              </w:rPr>
              <w:t>consent_failure</w:t>
            </w:r>
            <w:proofErr w:type="spellEnd"/>
          </w:p>
          <w:p w14:paraId="2780861F" w14:textId="77777777" w:rsidR="005015E1" w:rsidRPr="00F22D69" w:rsidRDefault="005015E1" w:rsidP="00BE7EA7">
            <w:pPr>
              <w:pStyle w:val="NormalParagraph"/>
              <w:rPr>
                <w:sz w:val="20"/>
                <w:szCs w:val="20"/>
                <w:lang w:val="en-US"/>
              </w:rPr>
            </w:pPr>
            <w:r w:rsidRPr="00BB0606">
              <w:rPr>
                <w:rFonts w:ascii="Courier New" w:hAnsi="Courier New" w:cs="Courier New"/>
                <w:sz w:val="20"/>
                <w:szCs w:val="20"/>
              </w:rPr>
              <w:t xml:space="preserve">(or) </w:t>
            </w:r>
            <w:proofErr w:type="spellStart"/>
            <w:r w:rsidRPr="00BB0606">
              <w:rPr>
                <w:rFonts w:ascii="Courier New" w:hAnsi="Courier New" w:cs="Courier New"/>
                <w:sz w:val="20"/>
                <w:szCs w:val="20"/>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08A62922" w14:textId="77777777" w:rsidR="005015E1" w:rsidRPr="00BB0606" w:rsidRDefault="005015E1" w:rsidP="00BE7EA7">
            <w:pPr>
              <w:pStyle w:val="NormalParagraph"/>
              <w:rPr>
                <w:sz w:val="20"/>
                <w:szCs w:val="20"/>
                <w:lang w:val="en-US"/>
              </w:rPr>
            </w:pPr>
            <w:r w:rsidRPr="00BB0606">
              <w:rPr>
                <w:sz w:val="20"/>
                <w:szCs w:val="20"/>
                <w:lang w:val="en-US"/>
              </w:rPr>
              <w:t xml:space="preserve">User failed to give consent (or) was not authenticated. </w:t>
            </w:r>
          </w:p>
        </w:tc>
      </w:tr>
      <w:tr w:rsidR="005015E1" w:rsidRPr="00400045" w14:paraId="33E8C799" w14:textId="77777777" w:rsidTr="002B38A5">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236C3C16" w14:textId="77777777" w:rsidR="005015E1" w:rsidRPr="00BB0606" w:rsidRDefault="005015E1" w:rsidP="00BE7EA7">
            <w:pPr>
              <w:pStyle w:val="NormalParagraph"/>
              <w:rPr>
                <w:sz w:val="20"/>
                <w:szCs w:val="20"/>
                <w:lang w:val="en-US"/>
              </w:rPr>
            </w:pPr>
            <w:r w:rsidRPr="00BB0606">
              <w:rPr>
                <w:sz w:val="20"/>
                <w:szCs w:val="20"/>
              </w:rPr>
              <w:t xml:space="preserve">In a single-page environment, the User </w:t>
            </w:r>
            <w:r w:rsidRPr="00BB0606">
              <w:rPr>
                <w:sz w:val="20"/>
                <w:szCs w:val="20"/>
                <w:lang w:val="en-US"/>
              </w:rPr>
              <w:t>denied the request for consent.</w:t>
            </w:r>
          </w:p>
        </w:tc>
        <w:tc>
          <w:tcPr>
            <w:tcW w:w="1134" w:type="dxa"/>
            <w:tcBorders>
              <w:top w:val="single" w:sz="4" w:space="0" w:color="auto"/>
              <w:left w:val="single" w:sz="4" w:space="0" w:color="auto"/>
              <w:bottom w:val="single" w:sz="4" w:space="0" w:color="auto"/>
              <w:right w:val="single" w:sz="4" w:space="0" w:color="auto"/>
            </w:tcBorders>
          </w:tcPr>
          <w:p w14:paraId="0A49D25D" w14:textId="77777777" w:rsidR="005015E1" w:rsidRPr="00F22D69" w:rsidRDefault="005015E1" w:rsidP="00BE7EA7">
            <w:pPr>
              <w:pStyle w:val="NormalParagraph"/>
              <w:rPr>
                <w:rFonts w:ascii="Courier New" w:hAnsi="Courier New" w:cs="Courier New"/>
                <w:sz w:val="20"/>
                <w:szCs w:val="20"/>
                <w:lang w:val="en-US"/>
              </w:rPr>
            </w:pPr>
            <w:r w:rsidRPr="00F22D69">
              <w:rPr>
                <w:rFonts w:ascii="Courier New" w:hAnsi="Courier New" w:cs="Courier New"/>
                <w:sz w:val="20"/>
                <w:szCs w:val="20"/>
                <w:lang w:val="en-US"/>
              </w:rPr>
              <w:t>Forbidden 403</w:t>
            </w:r>
          </w:p>
        </w:tc>
        <w:tc>
          <w:tcPr>
            <w:tcW w:w="2268" w:type="dxa"/>
            <w:tcBorders>
              <w:top w:val="single" w:sz="4" w:space="0" w:color="auto"/>
              <w:left w:val="single" w:sz="4" w:space="0" w:color="auto"/>
              <w:bottom w:val="single" w:sz="4" w:space="0" w:color="auto"/>
              <w:right w:val="single" w:sz="4" w:space="0" w:color="auto"/>
            </w:tcBorders>
            <w:hideMark/>
          </w:tcPr>
          <w:p w14:paraId="4D18005E" w14:textId="77777777" w:rsidR="005015E1" w:rsidRPr="00F22D69" w:rsidRDefault="005015E1" w:rsidP="00BE7EA7">
            <w:pPr>
              <w:pStyle w:val="NormalParagraph"/>
              <w:rPr>
                <w:rFonts w:ascii="Courier New" w:hAnsi="Courier New" w:cs="Courier New"/>
                <w:sz w:val="20"/>
                <w:szCs w:val="20"/>
                <w:lang w:val="en-US"/>
              </w:rPr>
            </w:pPr>
            <w:proofErr w:type="spellStart"/>
            <w:r w:rsidRPr="00BB0606">
              <w:rPr>
                <w:rFonts w:ascii="Courier New" w:hAnsi="Courier New" w:cs="Courier New"/>
                <w:sz w:val="20"/>
                <w:szCs w:val="20"/>
              </w:rPr>
              <w:t>consent_denied</w:t>
            </w:r>
            <w:proofErr w:type="spellEnd"/>
            <w:r w:rsidRPr="00BB0606">
              <w:rPr>
                <w:rFonts w:ascii="Courier New" w:hAnsi="Courier New" w:cs="Courier New"/>
                <w:sz w:val="20"/>
                <w:szCs w:val="20"/>
              </w:rPr>
              <w:t xml:space="preserve"> (or) </w:t>
            </w:r>
            <w:proofErr w:type="spellStart"/>
            <w:r w:rsidRPr="00BB0606">
              <w:rPr>
                <w:rFonts w:ascii="Courier New" w:hAnsi="Courier New" w:cs="Courier New"/>
                <w:sz w:val="20"/>
                <w:szCs w:val="20"/>
              </w:rPr>
              <w:t>consent_failure</w:t>
            </w:r>
            <w:proofErr w:type="spellEnd"/>
            <w:r w:rsidRPr="00BB0606">
              <w:rPr>
                <w:rFonts w:ascii="Courier New" w:hAnsi="Courier New" w:cs="Courier New"/>
                <w:sz w:val="20"/>
                <w:szCs w:val="20"/>
              </w:rPr>
              <w:t xml:space="preserve"> (or) </w:t>
            </w:r>
            <w:proofErr w:type="spellStart"/>
            <w:r w:rsidRPr="00BB0606">
              <w:rPr>
                <w:rFonts w:ascii="Courier New" w:hAnsi="Courier New" w:cs="Courier New"/>
                <w:sz w:val="20"/>
                <w:szCs w:val="20"/>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2CD2F409" w14:textId="77777777" w:rsidR="005015E1" w:rsidRPr="00BB0606" w:rsidRDefault="005015E1" w:rsidP="00BE7EA7">
            <w:pPr>
              <w:pStyle w:val="NormalParagraph"/>
              <w:rPr>
                <w:sz w:val="20"/>
                <w:szCs w:val="20"/>
                <w:lang w:val="en-US"/>
              </w:rPr>
            </w:pPr>
            <w:r w:rsidRPr="00BB0606">
              <w:rPr>
                <w:sz w:val="20"/>
                <w:szCs w:val="20"/>
                <w:lang w:val="en-US"/>
              </w:rPr>
              <w:t>User has not given consent (or) consent failure.</w:t>
            </w:r>
          </w:p>
        </w:tc>
      </w:tr>
      <w:tr w:rsidR="005015E1" w:rsidRPr="00400045" w14:paraId="303B904B" w14:textId="77777777" w:rsidTr="002B38A5">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043E199E" w14:textId="77777777" w:rsidR="005015E1" w:rsidRPr="00BB0606" w:rsidRDefault="005015E1" w:rsidP="00BE7EA7">
            <w:pPr>
              <w:pStyle w:val="NormalParagraph"/>
              <w:rPr>
                <w:sz w:val="20"/>
                <w:szCs w:val="20"/>
                <w:lang w:val="en-US"/>
              </w:rPr>
            </w:pPr>
            <w:r w:rsidRPr="00BB0606">
              <w:rPr>
                <w:sz w:val="20"/>
                <w:szCs w:val="20"/>
              </w:rPr>
              <w:t>The User was unable to give consent – a timeout occurred.</w:t>
            </w:r>
          </w:p>
        </w:tc>
        <w:tc>
          <w:tcPr>
            <w:tcW w:w="1134" w:type="dxa"/>
            <w:tcBorders>
              <w:top w:val="single" w:sz="4" w:space="0" w:color="auto"/>
              <w:left w:val="single" w:sz="4" w:space="0" w:color="auto"/>
              <w:bottom w:val="single" w:sz="4" w:space="0" w:color="auto"/>
              <w:right w:val="single" w:sz="4" w:space="0" w:color="auto"/>
            </w:tcBorders>
          </w:tcPr>
          <w:p w14:paraId="5D697E7D" w14:textId="77777777" w:rsidR="005015E1" w:rsidRPr="00F22D69" w:rsidRDefault="005015E1" w:rsidP="00BE7EA7">
            <w:pPr>
              <w:pStyle w:val="NormalParagraph"/>
              <w:rPr>
                <w:rFonts w:ascii="Courier New" w:hAnsi="Courier New" w:cs="Courier New"/>
                <w:sz w:val="20"/>
                <w:szCs w:val="20"/>
                <w:lang w:val="en-US"/>
              </w:rPr>
            </w:pPr>
            <w:r w:rsidRPr="00F22D69">
              <w:rPr>
                <w:rFonts w:ascii="Courier New" w:hAnsi="Courier New" w:cs="Courier New"/>
                <w:sz w:val="20"/>
                <w:szCs w:val="20"/>
                <w:lang w:val="en-US"/>
              </w:rPr>
              <w:t>Forbidden 403</w:t>
            </w:r>
          </w:p>
        </w:tc>
        <w:tc>
          <w:tcPr>
            <w:tcW w:w="2268" w:type="dxa"/>
            <w:tcBorders>
              <w:top w:val="single" w:sz="4" w:space="0" w:color="auto"/>
              <w:left w:val="single" w:sz="4" w:space="0" w:color="auto"/>
              <w:bottom w:val="single" w:sz="4" w:space="0" w:color="auto"/>
              <w:right w:val="single" w:sz="4" w:space="0" w:color="auto"/>
            </w:tcBorders>
            <w:hideMark/>
          </w:tcPr>
          <w:p w14:paraId="3326752D" w14:textId="77777777" w:rsidR="005015E1" w:rsidRPr="00F22D69" w:rsidRDefault="005015E1" w:rsidP="00BE7EA7">
            <w:pPr>
              <w:pStyle w:val="NormalParagraph"/>
              <w:rPr>
                <w:rFonts w:ascii="Courier New" w:hAnsi="Courier New" w:cs="Courier New"/>
                <w:sz w:val="20"/>
                <w:szCs w:val="20"/>
                <w:lang w:val="en-US"/>
              </w:rPr>
            </w:pPr>
            <w:proofErr w:type="spellStart"/>
            <w:r w:rsidRPr="00BB0606">
              <w:rPr>
                <w:rFonts w:ascii="Courier New" w:hAnsi="Courier New" w:cs="Courier New"/>
                <w:sz w:val="20"/>
                <w:szCs w:val="20"/>
              </w:rPr>
              <w:t>consent_failure</w:t>
            </w:r>
            <w:proofErr w:type="spellEnd"/>
            <w:r w:rsidRPr="00BB0606">
              <w:rPr>
                <w:rFonts w:ascii="Courier New" w:hAnsi="Courier New" w:cs="Courier New"/>
                <w:sz w:val="20"/>
                <w:szCs w:val="20"/>
              </w:rPr>
              <w:t xml:space="preserve"> (or) </w:t>
            </w:r>
            <w:proofErr w:type="spellStart"/>
            <w:r w:rsidRPr="00BB0606">
              <w:rPr>
                <w:rFonts w:ascii="Courier New" w:hAnsi="Courier New" w:cs="Courier New"/>
                <w:sz w:val="20"/>
                <w:szCs w:val="20"/>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656A0B2C" w14:textId="77777777" w:rsidR="005015E1" w:rsidRPr="00BB0606" w:rsidRDefault="005015E1" w:rsidP="00BE7EA7">
            <w:pPr>
              <w:pStyle w:val="NormalParagraph"/>
              <w:rPr>
                <w:sz w:val="20"/>
                <w:szCs w:val="20"/>
                <w:lang w:val="en-US"/>
              </w:rPr>
            </w:pPr>
            <w:r w:rsidRPr="00BB0606">
              <w:rPr>
                <w:sz w:val="20"/>
                <w:szCs w:val="20"/>
                <w:lang w:val="en-US"/>
              </w:rPr>
              <w:t xml:space="preserve">Timeout occurred during consent capture. </w:t>
            </w:r>
          </w:p>
        </w:tc>
      </w:tr>
      <w:tr w:rsidR="005015E1" w:rsidRPr="00400045" w14:paraId="23B48AF2" w14:textId="77777777" w:rsidTr="002B38A5">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781B6A01" w14:textId="77777777" w:rsidR="005015E1" w:rsidRPr="00BB0606" w:rsidRDefault="005015E1" w:rsidP="00BE7EA7">
            <w:pPr>
              <w:pStyle w:val="NormalParagraph"/>
              <w:rPr>
                <w:sz w:val="20"/>
                <w:szCs w:val="20"/>
                <w:lang w:val="en-US"/>
              </w:rPr>
            </w:pPr>
            <w:r w:rsidRPr="00BB0606">
              <w:rPr>
                <w:sz w:val="20"/>
                <w:szCs w:val="20"/>
              </w:rPr>
              <w:t>In a two-page environment, the ID GW failed to authenticate the User on the first page.</w:t>
            </w:r>
          </w:p>
        </w:tc>
        <w:tc>
          <w:tcPr>
            <w:tcW w:w="1134" w:type="dxa"/>
            <w:tcBorders>
              <w:top w:val="single" w:sz="4" w:space="0" w:color="auto"/>
              <w:left w:val="single" w:sz="4" w:space="0" w:color="auto"/>
              <w:bottom w:val="single" w:sz="4" w:space="0" w:color="auto"/>
              <w:right w:val="single" w:sz="4" w:space="0" w:color="auto"/>
            </w:tcBorders>
          </w:tcPr>
          <w:p w14:paraId="4EBEA39F" w14:textId="77777777" w:rsidR="005015E1" w:rsidRPr="00F22D69" w:rsidRDefault="005015E1" w:rsidP="00BE7EA7">
            <w:pPr>
              <w:pStyle w:val="NormalParagraph"/>
              <w:rPr>
                <w:rFonts w:ascii="Courier New" w:hAnsi="Courier New" w:cs="Courier New"/>
                <w:sz w:val="20"/>
                <w:szCs w:val="20"/>
                <w:lang w:val="en-US"/>
              </w:rPr>
            </w:pPr>
            <w:r w:rsidRPr="00F22D69">
              <w:rPr>
                <w:rFonts w:ascii="Courier New" w:hAnsi="Courier New" w:cs="Courier New"/>
                <w:sz w:val="20"/>
                <w:szCs w:val="20"/>
                <w:lang w:val="en-US"/>
              </w:rPr>
              <w:t>Forbidden 403</w:t>
            </w:r>
          </w:p>
        </w:tc>
        <w:tc>
          <w:tcPr>
            <w:tcW w:w="2268" w:type="dxa"/>
            <w:tcBorders>
              <w:top w:val="single" w:sz="4" w:space="0" w:color="auto"/>
              <w:left w:val="single" w:sz="4" w:space="0" w:color="auto"/>
              <w:bottom w:val="single" w:sz="4" w:space="0" w:color="auto"/>
              <w:right w:val="single" w:sz="4" w:space="0" w:color="auto"/>
            </w:tcBorders>
            <w:hideMark/>
          </w:tcPr>
          <w:p w14:paraId="0297DCF6" w14:textId="77777777" w:rsidR="005015E1" w:rsidRPr="00F22D69" w:rsidRDefault="005015E1" w:rsidP="00BE7EA7">
            <w:pPr>
              <w:pStyle w:val="NormalParagraph"/>
              <w:rPr>
                <w:rFonts w:ascii="Courier New" w:hAnsi="Courier New" w:cs="Courier New"/>
                <w:sz w:val="20"/>
                <w:szCs w:val="20"/>
                <w:lang w:val="en-US"/>
              </w:rPr>
            </w:pPr>
            <w:proofErr w:type="spellStart"/>
            <w:r w:rsidRPr="00BB0606">
              <w:rPr>
                <w:rFonts w:ascii="Courier New" w:hAnsi="Courier New" w:cs="Courier New"/>
                <w:sz w:val="20"/>
                <w:szCs w:val="20"/>
              </w:rPr>
              <w:t>consent_failure</w:t>
            </w:r>
            <w:proofErr w:type="spellEnd"/>
            <w:r w:rsidRPr="00BB0606">
              <w:rPr>
                <w:rFonts w:ascii="Courier New" w:hAnsi="Courier New" w:cs="Courier New"/>
                <w:sz w:val="20"/>
                <w:szCs w:val="20"/>
              </w:rPr>
              <w:t xml:space="preserve"> (or) </w:t>
            </w:r>
            <w:proofErr w:type="spellStart"/>
            <w:r w:rsidRPr="00BB0606">
              <w:rPr>
                <w:rFonts w:ascii="Courier New" w:hAnsi="Courier New" w:cs="Courier New"/>
                <w:sz w:val="20"/>
                <w:szCs w:val="20"/>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170486D0" w14:textId="77777777" w:rsidR="005015E1" w:rsidRPr="00BB0606" w:rsidRDefault="005015E1" w:rsidP="00BE7EA7">
            <w:pPr>
              <w:pStyle w:val="NormalParagraph"/>
              <w:rPr>
                <w:sz w:val="20"/>
                <w:szCs w:val="20"/>
                <w:lang w:val="en-US"/>
              </w:rPr>
            </w:pPr>
            <w:r w:rsidRPr="00BB0606">
              <w:rPr>
                <w:sz w:val="20"/>
                <w:szCs w:val="20"/>
                <w:lang w:val="en-US"/>
              </w:rPr>
              <w:t xml:space="preserve">User was not authenticated. </w:t>
            </w:r>
          </w:p>
        </w:tc>
      </w:tr>
      <w:tr w:rsidR="005015E1" w:rsidRPr="00400045" w14:paraId="7194D429" w14:textId="77777777" w:rsidTr="002B38A5">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604324ED" w14:textId="77777777" w:rsidR="005015E1" w:rsidRPr="00BB0606" w:rsidRDefault="005015E1" w:rsidP="00BE7EA7">
            <w:pPr>
              <w:pStyle w:val="NormalParagraph"/>
              <w:rPr>
                <w:sz w:val="20"/>
                <w:szCs w:val="20"/>
                <w:lang w:val="en-US"/>
              </w:rPr>
            </w:pPr>
            <w:r w:rsidRPr="00BB0606">
              <w:rPr>
                <w:sz w:val="20"/>
                <w:szCs w:val="20"/>
                <w:lang w:val="en-US"/>
              </w:rPr>
              <w:t>In a two-page environment, the User was authenticated in the first step, but denied the request for consent</w:t>
            </w:r>
          </w:p>
        </w:tc>
        <w:tc>
          <w:tcPr>
            <w:tcW w:w="1134" w:type="dxa"/>
            <w:tcBorders>
              <w:top w:val="single" w:sz="4" w:space="0" w:color="auto"/>
              <w:left w:val="single" w:sz="4" w:space="0" w:color="auto"/>
              <w:bottom w:val="single" w:sz="4" w:space="0" w:color="auto"/>
              <w:right w:val="single" w:sz="4" w:space="0" w:color="auto"/>
            </w:tcBorders>
          </w:tcPr>
          <w:p w14:paraId="0AEC8F16" w14:textId="77777777" w:rsidR="005015E1" w:rsidRPr="00F22D69" w:rsidRDefault="005015E1" w:rsidP="00BE7EA7">
            <w:pPr>
              <w:pStyle w:val="NormalParagraph"/>
              <w:rPr>
                <w:rFonts w:ascii="Courier New" w:hAnsi="Courier New" w:cs="Courier New"/>
                <w:sz w:val="20"/>
                <w:szCs w:val="20"/>
                <w:lang w:val="en-US"/>
              </w:rPr>
            </w:pPr>
            <w:r w:rsidRPr="00F22D69">
              <w:rPr>
                <w:rFonts w:ascii="Courier New" w:hAnsi="Courier New" w:cs="Courier New"/>
                <w:sz w:val="20"/>
                <w:szCs w:val="20"/>
                <w:lang w:val="en-US"/>
              </w:rPr>
              <w:t>Forbidden 403</w:t>
            </w:r>
          </w:p>
        </w:tc>
        <w:tc>
          <w:tcPr>
            <w:tcW w:w="2268" w:type="dxa"/>
            <w:tcBorders>
              <w:top w:val="single" w:sz="4" w:space="0" w:color="auto"/>
              <w:left w:val="single" w:sz="4" w:space="0" w:color="auto"/>
              <w:bottom w:val="single" w:sz="4" w:space="0" w:color="auto"/>
              <w:right w:val="single" w:sz="4" w:space="0" w:color="auto"/>
            </w:tcBorders>
            <w:hideMark/>
          </w:tcPr>
          <w:p w14:paraId="303A038E" w14:textId="77777777" w:rsidR="005015E1" w:rsidRPr="00F22D69" w:rsidRDefault="005015E1" w:rsidP="00BE7EA7">
            <w:pPr>
              <w:pStyle w:val="NormalParagraph"/>
              <w:rPr>
                <w:rFonts w:ascii="Courier New" w:hAnsi="Courier New" w:cs="Courier New"/>
                <w:sz w:val="20"/>
                <w:szCs w:val="20"/>
                <w:lang w:val="en-US"/>
              </w:rPr>
            </w:pPr>
            <w:proofErr w:type="spellStart"/>
            <w:r w:rsidRPr="00BB0606">
              <w:rPr>
                <w:rFonts w:ascii="Courier New" w:hAnsi="Courier New" w:cs="Courier New"/>
                <w:sz w:val="20"/>
                <w:szCs w:val="20"/>
              </w:rPr>
              <w:t>consent_denied</w:t>
            </w:r>
            <w:proofErr w:type="spellEnd"/>
            <w:r w:rsidRPr="00BB0606">
              <w:rPr>
                <w:rFonts w:ascii="Courier New" w:hAnsi="Courier New" w:cs="Courier New"/>
                <w:sz w:val="20"/>
                <w:szCs w:val="20"/>
              </w:rPr>
              <w:t xml:space="preserve"> (or) </w:t>
            </w:r>
            <w:proofErr w:type="spellStart"/>
            <w:r w:rsidRPr="00BB0606">
              <w:rPr>
                <w:rFonts w:ascii="Courier New" w:hAnsi="Courier New" w:cs="Courier New"/>
                <w:sz w:val="20"/>
                <w:szCs w:val="20"/>
              </w:rPr>
              <w:t>consent_failure</w:t>
            </w:r>
            <w:proofErr w:type="spellEnd"/>
            <w:r w:rsidRPr="00BB0606">
              <w:rPr>
                <w:rFonts w:ascii="Courier New" w:hAnsi="Courier New" w:cs="Courier New"/>
                <w:sz w:val="20"/>
                <w:szCs w:val="20"/>
              </w:rPr>
              <w:t xml:space="preserve"> (or) </w:t>
            </w:r>
            <w:proofErr w:type="spellStart"/>
            <w:r w:rsidRPr="00BB0606">
              <w:rPr>
                <w:rFonts w:ascii="Courier New" w:hAnsi="Courier New" w:cs="Courier New"/>
                <w:sz w:val="20"/>
                <w:szCs w:val="20"/>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3CA719C8" w14:textId="77777777" w:rsidR="005015E1" w:rsidRPr="00BB0606" w:rsidRDefault="005015E1" w:rsidP="00BE7EA7">
            <w:pPr>
              <w:pStyle w:val="NormalParagraph"/>
              <w:rPr>
                <w:sz w:val="20"/>
                <w:szCs w:val="20"/>
                <w:lang w:val="en-US"/>
              </w:rPr>
            </w:pPr>
            <w:r w:rsidRPr="00BB0606">
              <w:rPr>
                <w:sz w:val="20"/>
                <w:szCs w:val="20"/>
                <w:lang w:val="en-US"/>
              </w:rPr>
              <w:t xml:space="preserve">User has not given consent (or) consent failure. </w:t>
            </w:r>
          </w:p>
        </w:tc>
      </w:tr>
    </w:tbl>
    <w:p w14:paraId="1D466E8F" w14:textId="3BBC2567" w:rsidR="00F22D69" w:rsidRDefault="00D932DB" w:rsidP="00D932DB">
      <w:pPr>
        <w:pStyle w:val="TableCaption"/>
      </w:pPr>
      <w:r w:rsidRPr="00400045">
        <w:t xml:space="preserve">: Errors - Server-Initiated </w:t>
      </w:r>
      <w:r>
        <w:t>Polling Responses</w:t>
      </w:r>
    </w:p>
    <w:p w14:paraId="14394A4A" w14:textId="77777777" w:rsidR="00F22D69" w:rsidRDefault="00F22D69" w:rsidP="00BB0606">
      <w:pPr>
        <w:pStyle w:val="NormalParagraph"/>
        <w:rPr>
          <w:rFonts w:ascii="Arial Bold" w:hAnsi="Arial Bold"/>
          <w:sz w:val="24"/>
          <w:szCs w:val="24"/>
        </w:rPr>
      </w:pPr>
      <w:r>
        <w:br w:type="page"/>
      </w:r>
    </w:p>
    <w:p w14:paraId="51B524D7" w14:textId="77777777" w:rsidR="005015E1" w:rsidRDefault="005015E1" w:rsidP="005015E1">
      <w:pPr>
        <w:pStyle w:val="Annex"/>
        <w:numPr>
          <w:ilvl w:val="0"/>
          <w:numId w:val="11"/>
        </w:numPr>
      </w:pPr>
      <w:bookmarkStart w:id="139" w:name="_Toc26701084"/>
      <w:bookmarkStart w:id="140" w:name="_Toc26701801"/>
      <w:bookmarkStart w:id="141" w:name="_Toc119425908"/>
      <w:bookmarkStart w:id="142" w:name="_Toc121260656"/>
      <w:bookmarkEnd w:id="139"/>
      <w:bookmarkEnd w:id="140"/>
      <w:r>
        <w:lastRenderedPageBreak/>
        <w:t>Authenticators</w:t>
      </w:r>
      <w:bookmarkEnd w:id="141"/>
      <w:bookmarkEnd w:id="142"/>
      <w:r>
        <w:t xml:space="preserve"> </w:t>
      </w:r>
    </w:p>
    <w:p w14:paraId="2D53390E" w14:textId="49B6DB46" w:rsidR="005015E1" w:rsidRPr="00EA0EF0" w:rsidRDefault="005015E1" w:rsidP="005015E1">
      <w:pPr>
        <w:pStyle w:val="NoSpacing"/>
        <w:rPr>
          <w:rFonts w:ascii="Arial" w:hAnsi="Arial" w:cs="Arial"/>
        </w:rPr>
      </w:pPr>
      <w:r w:rsidRPr="00EA0EF0">
        <w:rPr>
          <w:rFonts w:ascii="Arial" w:hAnsi="Arial" w:cs="Arial"/>
        </w:rPr>
        <w:t xml:space="preserve">The following table lists the general use authenticators and their suitability to </w:t>
      </w:r>
      <w:proofErr w:type="gramStart"/>
      <w:r w:rsidRPr="00EA0EF0">
        <w:rPr>
          <w:rFonts w:ascii="Arial" w:hAnsi="Arial" w:cs="Arial"/>
        </w:rPr>
        <w:t>service, if</w:t>
      </w:r>
      <w:proofErr w:type="gramEnd"/>
      <w:r w:rsidRPr="00EA0EF0">
        <w:rPr>
          <w:rFonts w:ascii="Arial" w:hAnsi="Arial" w:cs="Arial"/>
        </w:rPr>
        <w:t xml:space="preserve"> Operator prompts the </w:t>
      </w:r>
      <w:r w:rsidR="0080390F">
        <w:rPr>
          <w:rFonts w:ascii="Arial" w:hAnsi="Arial" w:cs="Arial"/>
        </w:rPr>
        <w:t>User</w:t>
      </w:r>
      <w:r w:rsidRPr="00EA0EF0">
        <w:rPr>
          <w:rFonts w:ascii="Arial" w:hAnsi="Arial" w:cs="Arial"/>
        </w:rPr>
        <w:t xml:space="preserve"> on their mobile device. </w:t>
      </w:r>
    </w:p>
    <w:p w14:paraId="6CC09C9C" w14:textId="77777777" w:rsidR="005015E1" w:rsidRPr="00770C55" w:rsidRDefault="005015E1" w:rsidP="005015E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219"/>
        <w:gridCol w:w="3817"/>
      </w:tblGrid>
      <w:tr w:rsidR="005015E1" w:rsidRPr="00427F8A" w14:paraId="1EB5235C" w14:textId="77777777" w:rsidTr="00BE7EA7">
        <w:trPr>
          <w:cantSplit/>
          <w:tblHeader/>
        </w:trPr>
        <w:tc>
          <w:tcPr>
            <w:tcW w:w="1980" w:type="dxa"/>
            <w:shd w:val="clear" w:color="auto" w:fill="DE002B"/>
            <w:vAlign w:val="bottom"/>
          </w:tcPr>
          <w:p w14:paraId="3444F44C" w14:textId="77777777" w:rsidR="005015E1" w:rsidRPr="00427F8A" w:rsidRDefault="005015E1" w:rsidP="00BE7EA7">
            <w:pPr>
              <w:pStyle w:val="TableHeader"/>
              <w:spacing w:before="40" w:after="40"/>
              <w:jc w:val="center"/>
            </w:pPr>
            <w:r>
              <w:t>Mobile Connect Authenticator</w:t>
            </w:r>
          </w:p>
        </w:tc>
        <w:tc>
          <w:tcPr>
            <w:tcW w:w="3219" w:type="dxa"/>
            <w:shd w:val="clear" w:color="auto" w:fill="DE002B"/>
          </w:tcPr>
          <w:p w14:paraId="545CE98A" w14:textId="77777777" w:rsidR="005015E1" w:rsidRPr="00427F8A" w:rsidRDefault="005015E1" w:rsidP="00BE7EA7">
            <w:pPr>
              <w:pStyle w:val="TableHeader"/>
              <w:spacing w:before="40" w:after="40"/>
              <w:jc w:val="center"/>
            </w:pPr>
            <w:r>
              <w:rPr>
                <w:color w:val="FFFFFF" w:themeColor="background1"/>
              </w:rPr>
              <w:t xml:space="preserve"> Recommended for Consent Capture? </w:t>
            </w:r>
          </w:p>
        </w:tc>
        <w:tc>
          <w:tcPr>
            <w:tcW w:w="3817" w:type="dxa"/>
            <w:shd w:val="clear" w:color="auto" w:fill="DE002B"/>
            <w:vAlign w:val="bottom"/>
          </w:tcPr>
          <w:p w14:paraId="0B783C7C" w14:textId="77777777" w:rsidR="005015E1" w:rsidRPr="00F14715" w:rsidRDefault="005015E1" w:rsidP="00BE7EA7">
            <w:pPr>
              <w:pStyle w:val="TableHeader"/>
              <w:spacing w:before="40" w:after="40"/>
              <w:jc w:val="center"/>
            </w:pPr>
            <w:r>
              <w:t>Explanation</w:t>
            </w:r>
          </w:p>
        </w:tc>
      </w:tr>
      <w:tr w:rsidR="005015E1" w:rsidRPr="00762F80" w14:paraId="11928D29" w14:textId="77777777" w:rsidTr="00BE7EA7">
        <w:tc>
          <w:tcPr>
            <w:tcW w:w="1980" w:type="dxa"/>
            <w:vAlign w:val="center"/>
          </w:tcPr>
          <w:p w14:paraId="261A50BF" w14:textId="77777777" w:rsidR="005015E1" w:rsidRPr="00F22D69" w:rsidRDefault="005015E1" w:rsidP="00BE7EA7">
            <w:pPr>
              <w:pStyle w:val="TableText"/>
              <w:rPr>
                <w:szCs w:val="20"/>
              </w:rPr>
            </w:pPr>
            <w:r w:rsidRPr="00F22D69">
              <w:rPr>
                <w:szCs w:val="20"/>
              </w:rPr>
              <w:t>SIM Applet</w:t>
            </w:r>
          </w:p>
        </w:tc>
        <w:tc>
          <w:tcPr>
            <w:tcW w:w="3219" w:type="dxa"/>
          </w:tcPr>
          <w:p w14:paraId="5A987E6F" w14:textId="77777777" w:rsidR="005015E1" w:rsidRPr="00317EEA" w:rsidRDefault="005015E1" w:rsidP="00BE7EA7">
            <w:pPr>
              <w:pStyle w:val="NormalParagraph"/>
              <w:keepNext/>
              <w:spacing w:before="40" w:after="40"/>
              <w:ind w:right="-108"/>
              <w:jc w:val="center"/>
              <w:rPr>
                <w:sz w:val="20"/>
                <w:szCs w:val="20"/>
              </w:rPr>
            </w:pPr>
            <w:r w:rsidRPr="00317EEA">
              <w:rPr>
                <w:sz w:val="20"/>
                <w:szCs w:val="20"/>
              </w:rPr>
              <w:t>Yes</w:t>
            </w:r>
          </w:p>
        </w:tc>
        <w:tc>
          <w:tcPr>
            <w:tcW w:w="3817" w:type="dxa"/>
            <w:vAlign w:val="center"/>
          </w:tcPr>
          <w:p w14:paraId="27375A5E" w14:textId="77777777" w:rsidR="005015E1" w:rsidRPr="00F22D69" w:rsidRDefault="005015E1" w:rsidP="00BE7EA7">
            <w:pPr>
              <w:pStyle w:val="NormalParagraph"/>
              <w:keepNext/>
              <w:spacing w:before="40" w:after="40"/>
              <w:ind w:right="-108"/>
              <w:rPr>
                <w:sz w:val="20"/>
                <w:szCs w:val="20"/>
              </w:rPr>
            </w:pPr>
            <w:r w:rsidRPr="00BB0606">
              <w:rPr>
                <w:sz w:val="20"/>
                <w:szCs w:val="20"/>
              </w:rPr>
              <w:t>Supports LoA2 and LoA3 but there is limited space to display information - if the requirement is to list out all the attributes and their values within the consent screen, this may require multiple SIM applet pages.</w:t>
            </w:r>
          </w:p>
        </w:tc>
      </w:tr>
      <w:tr w:rsidR="005015E1" w:rsidRPr="00762F80" w14:paraId="3BAD78D1" w14:textId="77777777" w:rsidTr="00BE7EA7">
        <w:tc>
          <w:tcPr>
            <w:tcW w:w="1980" w:type="dxa"/>
            <w:vAlign w:val="center"/>
          </w:tcPr>
          <w:p w14:paraId="3E3E1C89" w14:textId="77777777" w:rsidR="005015E1" w:rsidRPr="00F22D69" w:rsidRDefault="005015E1" w:rsidP="00BE7EA7">
            <w:pPr>
              <w:pStyle w:val="TableText"/>
              <w:rPr>
                <w:szCs w:val="20"/>
              </w:rPr>
            </w:pPr>
            <w:r w:rsidRPr="00F22D69">
              <w:rPr>
                <w:szCs w:val="20"/>
              </w:rPr>
              <w:t>Smartphone app</w:t>
            </w:r>
          </w:p>
        </w:tc>
        <w:tc>
          <w:tcPr>
            <w:tcW w:w="3219" w:type="dxa"/>
          </w:tcPr>
          <w:p w14:paraId="6FD987E9" w14:textId="77777777" w:rsidR="005015E1" w:rsidRPr="00317EEA" w:rsidRDefault="005015E1" w:rsidP="00BE7EA7">
            <w:pPr>
              <w:pStyle w:val="NormalParagraph"/>
              <w:keepNext/>
              <w:spacing w:before="40" w:after="40"/>
              <w:ind w:right="-108"/>
              <w:jc w:val="center"/>
              <w:rPr>
                <w:sz w:val="20"/>
                <w:szCs w:val="20"/>
              </w:rPr>
            </w:pPr>
            <w:r w:rsidRPr="00317EEA">
              <w:rPr>
                <w:sz w:val="20"/>
                <w:szCs w:val="20"/>
              </w:rPr>
              <w:t>Yes</w:t>
            </w:r>
          </w:p>
        </w:tc>
        <w:tc>
          <w:tcPr>
            <w:tcW w:w="3817" w:type="dxa"/>
            <w:vAlign w:val="center"/>
          </w:tcPr>
          <w:p w14:paraId="073FF52D" w14:textId="77777777" w:rsidR="005015E1" w:rsidRPr="00F22D69" w:rsidRDefault="005015E1" w:rsidP="00BE7EA7">
            <w:pPr>
              <w:pStyle w:val="NormalParagraph"/>
              <w:keepNext/>
              <w:spacing w:before="40" w:after="40"/>
              <w:ind w:right="-108"/>
              <w:rPr>
                <w:sz w:val="20"/>
                <w:szCs w:val="20"/>
              </w:rPr>
            </w:pPr>
            <w:r w:rsidRPr="00BB0606">
              <w:rPr>
                <w:sz w:val="20"/>
                <w:szCs w:val="20"/>
              </w:rPr>
              <w:t>The smartphone app authenticator has plenty of space for displaying the consent prompt</w:t>
            </w:r>
          </w:p>
        </w:tc>
      </w:tr>
      <w:tr w:rsidR="005015E1" w:rsidRPr="00762F80" w14:paraId="3BA11EDC" w14:textId="77777777" w:rsidTr="00BE7EA7">
        <w:tc>
          <w:tcPr>
            <w:tcW w:w="1980" w:type="dxa"/>
            <w:vAlign w:val="center"/>
          </w:tcPr>
          <w:p w14:paraId="0900CFFB" w14:textId="77777777" w:rsidR="005015E1" w:rsidRPr="00F22D69" w:rsidRDefault="005015E1" w:rsidP="00BE7EA7">
            <w:pPr>
              <w:pStyle w:val="TableText"/>
              <w:rPr>
                <w:szCs w:val="20"/>
              </w:rPr>
            </w:pPr>
            <w:proofErr w:type="spellStart"/>
            <w:r w:rsidRPr="00F22D69">
              <w:rPr>
                <w:szCs w:val="20"/>
              </w:rPr>
              <w:t>USSD</w:t>
            </w:r>
            <w:proofErr w:type="spellEnd"/>
          </w:p>
          <w:p w14:paraId="7F3792CB" w14:textId="77777777" w:rsidR="005015E1" w:rsidRPr="00317EEA" w:rsidRDefault="005015E1" w:rsidP="00BE7EA7">
            <w:pPr>
              <w:pStyle w:val="TableText"/>
              <w:rPr>
                <w:szCs w:val="20"/>
              </w:rPr>
            </w:pPr>
            <w:r w:rsidRPr="00317EEA">
              <w:rPr>
                <w:szCs w:val="20"/>
              </w:rPr>
              <w:t>(</w:t>
            </w:r>
            <w:proofErr w:type="gramStart"/>
            <w:r w:rsidRPr="00317EEA">
              <w:rPr>
                <w:szCs w:val="20"/>
              </w:rPr>
              <w:t>network</w:t>
            </w:r>
            <w:proofErr w:type="gramEnd"/>
            <w:r w:rsidRPr="00317EEA">
              <w:rPr>
                <w:szCs w:val="20"/>
              </w:rPr>
              <w:t xml:space="preserve"> initiated </w:t>
            </w:r>
            <w:proofErr w:type="spellStart"/>
            <w:r w:rsidRPr="00317EEA">
              <w:rPr>
                <w:szCs w:val="20"/>
              </w:rPr>
              <w:t>USSD</w:t>
            </w:r>
            <w:proofErr w:type="spellEnd"/>
            <w:r w:rsidRPr="00317EEA">
              <w:rPr>
                <w:szCs w:val="20"/>
              </w:rPr>
              <w:t>)</w:t>
            </w:r>
          </w:p>
        </w:tc>
        <w:tc>
          <w:tcPr>
            <w:tcW w:w="3219" w:type="dxa"/>
          </w:tcPr>
          <w:p w14:paraId="120761F2" w14:textId="77777777" w:rsidR="005015E1" w:rsidRPr="00F22D69" w:rsidRDefault="005015E1" w:rsidP="00BE7EA7">
            <w:pPr>
              <w:pStyle w:val="NormalParagraph"/>
              <w:keepNext/>
              <w:spacing w:before="40" w:after="40"/>
              <w:ind w:right="-108"/>
              <w:jc w:val="center"/>
              <w:rPr>
                <w:sz w:val="20"/>
                <w:szCs w:val="20"/>
              </w:rPr>
            </w:pPr>
            <w:r w:rsidRPr="00F22D69">
              <w:rPr>
                <w:sz w:val="20"/>
                <w:szCs w:val="20"/>
              </w:rPr>
              <w:t>Yes</w:t>
            </w:r>
          </w:p>
        </w:tc>
        <w:tc>
          <w:tcPr>
            <w:tcW w:w="3817" w:type="dxa"/>
            <w:vAlign w:val="center"/>
          </w:tcPr>
          <w:p w14:paraId="40453F7B" w14:textId="77777777" w:rsidR="005015E1" w:rsidRPr="00F22D69" w:rsidRDefault="005015E1" w:rsidP="00BE7EA7">
            <w:pPr>
              <w:pStyle w:val="NormalParagraph"/>
              <w:keepNext/>
              <w:spacing w:before="40" w:after="40"/>
              <w:ind w:right="-108"/>
              <w:rPr>
                <w:sz w:val="20"/>
                <w:szCs w:val="20"/>
              </w:rPr>
            </w:pPr>
            <w:r w:rsidRPr="00F22D69">
              <w:rPr>
                <w:sz w:val="20"/>
                <w:szCs w:val="20"/>
              </w:rPr>
              <w:t>MC ATP OK with LoA2.</w:t>
            </w:r>
          </w:p>
        </w:tc>
      </w:tr>
      <w:tr w:rsidR="005015E1" w:rsidRPr="00762F80" w14:paraId="0AFD93D1" w14:textId="77777777" w:rsidTr="00BE7EA7">
        <w:tc>
          <w:tcPr>
            <w:tcW w:w="1980" w:type="dxa"/>
            <w:vAlign w:val="center"/>
          </w:tcPr>
          <w:p w14:paraId="2F29BB35" w14:textId="77777777" w:rsidR="005015E1" w:rsidRPr="00F22D69" w:rsidRDefault="005015E1" w:rsidP="00BE7EA7">
            <w:pPr>
              <w:pStyle w:val="TableText"/>
              <w:rPr>
                <w:szCs w:val="20"/>
              </w:rPr>
            </w:pPr>
            <w:r w:rsidRPr="00F22D69">
              <w:rPr>
                <w:szCs w:val="20"/>
              </w:rPr>
              <w:t>SMS + embedded link</w:t>
            </w:r>
          </w:p>
        </w:tc>
        <w:tc>
          <w:tcPr>
            <w:tcW w:w="3219" w:type="dxa"/>
          </w:tcPr>
          <w:p w14:paraId="6EFFBF8F" w14:textId="77777777" w:rsidR="005015E1" w:rsidRPr="00317EEA" w:rsidRDefault="005015E1" w:rsidP="00BE7EA7">
            <w:pPr>
              <w:pStyle w:val="NormalParagraph"/>
              <w:keepNext/>
              <w:spacing w:before="40" w:after="40"/>
              <w:ind w:right="-108"/>
              <w:jc w:val="center"/>
              <w:rPr>
                <w:sz w:val="20"/>
                <w:szCs w:val="20"/>
              </w:rPr>
            </w:pPr>
            <w:r w:rsidRPr="00317EEA">
              <w:rPr>
                <w:sz w:val="20"/>
                <w:szCs w:val="20"/>
              </w:rPr>
              <w:t>No</w:t>
            </w:r>
          </w:p>
        </w:tc>
        <w:tc>
          <w:tcPr>
            <w:tcW w:w="3817" w:type="dxa"/>
            <w:vAlign w:val="center"/>
          </w:tcPr>
          <w:p w14:paraId="6464D2F3" w14:textId="0706F436" w:rsidR="005015E1" w:rsidRPr="00F22D69" w:rsidRDefault="005015E1" w:rsidP="00BE7EA7">
            <w:pPr>
              <w:pStyle w:val="NormalParagraph"/>
              <w:keepNext/>
              <w:spacing w:before="40" w:after="40"/>
              <w:ind w:right="-108"/>
              <w:rPr>
                <w:sz w:val="20"/>
                <w:szCs w:val="20"/>
              </w:rPr>
            </w:pPr>
            <w:r w:rsidRPr="00BB0606">
              <w:rPr>
                <w:sz w:val="20"/>
                <w:szCs w:val="20"/>
              </w:rPr>
              <w:t xml:space="preserve">Supports LoA2 </w:t>
            </w:r>
            <w:r w:rsidR="00BE7EA7" w:rsidRPr="00BB0606">
              <w:rPr>
                <w:sz w:val="20"/>
                <w:szCs w:val="20"/>
              </w:rPr>
              <w:t>–</w:t>
            </w:r>
            <w:r w:rsidRPr="00BB0606">
              <w:rPr>
                <w:sz w:val="20"/>
                <w:szCs w:val="20"/>
              </w:rPr>
              <w:t xml:space="preserve"> Typically</w:t>
            </w:r>
            <w:r w:rsidR="00BE7EA7" w:rsidRPr="00BB0606">
              <w:rPr>
                <w:sz w:val="20"/>
                <w:szCs w:val="20"/>
              </w:rPr>
              <w:t>,</w:t>
            </w:r>
            <w:r w:rsidRPr="00BB0606">
              <w:rPr>
                <w:sz w:val="20"/>
                <w:szCs w:val="20"/>
              </w:rPr>
              <w:t xml:space="preserve"> the URL takes up a lot of space – so limited space is left in the SMS for the consent request, attributes etc. consent can be given in the page which opens after the click on the link, however not recommended</w:t>
            </w:r>
            <w:r w:rsidRPr="00BB0606">
              <w:rPr>
                <w:rStyle w:val="FootnoteReference"/>
                <w:sz w:val="20"/>
                <w:szCs w:val="20"/>
              </w:rPr>
              <w:footnoteReference w:id="4"/>
            </w:r>
            <w:r w:rsidRPr="00BB0606">
              <w:rPr>
                <w:sz w:val="20"/>
                <w:szCs w:val="20"/>
              </w:rPr>
              <w:t>.</w:t>
            </w:r>
          </w:p>
        </w:tc>
      </w:tr>
      <w:tr w:rsidR="005015E1" w:rsidRPr="00762F80" w14:paraId="3803573C" w14:textId="77777777" w:rsidTr="00BE7EA7">
        <w:tc>
          <w:tcPr>
            <w:tcW w:w="1980" w:type="dxa"/>
            <w:vAlign w:val="center"/>
          </w:tcPr>
          <w:p w14:paraId="3D1C5CBE" w14:textId="77777777" w:rsidR="005015E1" w:rsidRPr="00317EEA" w:rsidRDefault="005015E1" w:rsidP="00BE7EA7">
            <w:pPr>
              <w:pStyle w:val="TableText"/>
              <w:rPr>
                <w:szCs w:val="20"/>
              </w:rPr>
            </w:pPr>
            <w:r w:rsidRPr="00F22D69">
              <w:rPr>
                <w:szCs w:val="20"/>
              </w:rPr>
              <w:t>Seamless authenticator (enri</w:t>
            </w:r>
            <w:r w:rsidRPr="00317EEA">
              <w:rPr>
                <w:szCs w:val="20"/>
              </w:rPr>
              <w:t>ched header)</w:t>
            </w:r>
          </w:p>
        </w:tc>
        <w:tc>
          <w:tcPr>
            <w:tcW w:w="3219" w:type="dxa"/>
          </w:tcPr>
          <w:p w14:paraId="041EB81F" w14:textId="77777777" w:rsidR="005015E1" w:rsidRPr="00F22D69" w:rsidRDefault="005015E1" w:rsidP="00BE7EA7">
            <w:pPr>
              <w:pStyle w:val="NormalParagraph"/>
              <w:keepNext/>
              <w:spacing w:before="40" w:after="40"/>
              <w:ind w:right="-108"/>
              <w:jc w:val="center"/>
              <w:rPr>
                <w:sz w:val="20"/>
                <w:szCs w:val="20"/>
              </w:rPr>
            </w:pPr>
            <w:r w:rsidRPr="00F22D69">
              <w:rPr>
                <w:sz w:val="20"/>
                <w:szCs w:val="20"/>
              </w:rPr>
              <w:t>No</w:t>
            </w:r>
          </w:p>
        </w:tc>
        <w:tc>
          <w:tcPr>
            <w:tcW w:w="3817" w:type="dxa"/>
            <w:vAlign w:val="center"/>
          </w:tcPr>
          <w:p w14:paraId="298A4199" w14:textId="77777777" w:rsidR="005015E1" w:rsidRPr="00F22D69" w:rsidRDefault="005015E1" w:rsidP="00BE7EA7">
            <w:pPr>
              <w:pStyle w:val="NormalParagraph"/>
              <w:keepNext/>
              <w:spacing w:before="40" w:after="40"/>
              <w:ind w:right="-108"/>
              <w:jc w:val="center"/>
              <w:rPr>
                <w:sz w:val="20"/>
                <w:szCs w:val="20"/>
              </w:rPr>
            </w:pPr>
            <w:r w:rsidRPr="00F22D69">
              <w:rPr>
                <w:sz w:val="20"/>
                <w:szCs w:val="20"/>
              </w:rPr>
              <w:t>Not applicable</w:t>
            </w:r>
          </w:p>
        </w:tc>
      </w:tr>
    </w:tbl>
    <w:p w14:paraId="73366BAA" w14:textId="77777777" w:rsidR="005015E1" w:rsidRPr="00466030" w:rsidRDefault="005015E1" w:rsidP="005015E1">
      <w:pPr>
        <w:pStyle w:val="TableCaption"/>
        <w:numPr>
          <w:ilvl w:val="0"/>
          <w:numId w:val="1"/>
        </w:numPr>
      </w:pPr>
      <w:r w:rsidRPr="00466030">
        <w:t>: Authenticator suitability for Mobile Connect ATP</w:t>
      </w:r>
    </w:p>
    <w:p w14:paraId="09CD54EB" w14:textId="77777777" w:rsidR="005015E1" w:rsidRDefault="005015E1" w:rsidP="005015E1">
      <w:r>
        <w:br w:type="page"/>
      </w:r>
    </w:p>
    <w:p w14:paraId="253F6E19" w14:textId="77777777" w:rsidR="005015E1" w:rsidRPr="00770C55" w:rsidRDefault="005015E1" w:rsidP="005015E1">
      <w:pPr>
        <w:pStyle w:val="ANNEX-heading1"/>
        <w:numPr>
          <w:ilvl w:val="0"/>
          <w:numId w:val="0"/>
        </w:numPr>
        <w:ind w:left="680"/>
      </w:pPr>
    </w:p>
    <w:p w14:paraId="0D6F8DCD" w14:textId="77777777" w:rsidR="005015E1" w:rsidRPr="004B2D20" w:rsidRDefault="005015E1" w:rsidP="005015E1">
      <w:pPr>
        <w:pStyle w:val="Annex"/>
        <w:numPr>
          <w:ilvl w:val="0"/>
          <w:numId w:val="11"/>
        </w:numPr>
      </w:pPr>
      <w:bookmarkStart w:id="143" w:name="_Toc119425909"/>
      <w:bookmarkStart w:id="144" w:name="_Toc121260657"/>
      <w:r w:rsidRPr="004B2D20">
        <w:t>Document Management</w:t>
      </w:r>
      <w:bookmarkEnd w:id="110"/>
      <w:bookmarkEnd w:id="111"/>
      <w:bookmarkEnd w:id="112"/>
      <w:bookmarkEnd w:id="113"/>
      <w:bookmarkEnd w:id="114"/>
      <w:bookmarkEnd w:id="143"/>
      <w:bookmarkEnd w:id="144"/>
    </w:p>
    <w:p w14:paraId="0B9FA75A" w14:textId="77777777" w:rsidR="005015E1" w:rsidRPr="004B2D20" w:rsidRDefault="005015E1" w:rsidP="005015E1">
      <w:pPr>
        <w:pStyle w:val="ANNEX-heading1"/>
        <w:numPr>
          <w:ilvl w:val="1"/>
          <w:numId w:val="11"/>
        </w:numPr>
        <w:jc w:val="both"/>
        <w:rPr>
          <w:rFonts w:ascii="Arial" w:hAnsi="Arial" w:cs="Arial"/>
        </w:rPr>
      </w:pPr>
      <w:bookmarkStart w:id="145" w:name="_Toc327548014"/>
      <w:bookmarkStart w:id="146" w:name="_Toc327548214"/>
      <w:bookmarkStart w:id="147" w:name="_Toc466480073"/>
      <w:bookmarkStart w:id="148" w:name="_Toc119425910"/>
      <w:bookmarkStart w:id="149" w:name="_Toc121260658"/>
      <w:r w:rsidRPr="004B2D20">
        <w:rPr>
          <w:rFonts w:ascii="Arial" w:hAnsi="Arial" w:cs="Arial"/>
        </w:rPr>
        <w:t>Document History</w:t>
      </w:r>
      <w:bookmarkEnd w:id="145"/>
      <w:bookmarkEnd w:id="146"/>
      <w:bookmarkEnd w:id="147"/>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662"/>
        <w:gridCol w:w="2126"/>
        <w:gridCol w:w="1538"/>
        <w:gridCol w:w="2648"/>
      </w:tblGrid>
      <w:tr w:rsidR="005015E1" w:rsidRPr="004B2D20" w14:paraId="3D4698EB" w14:textId="77777777" w:rsidTr="00BE7EA7">
        <w:trPr>
          <w:cantSplit/>
          <w:tblHeader/>
        </w:trPr>
        <w:tc>
          <w:tcPr>
            <w:tcW w:w="1042" w:type="dxa"/>
            <w:shd w:val="clear" w:color="auto" w:fill="C00000"/>
          </w:tcPr>
          <w:p w14:paraId="06E3CBD1" w14:textId="77777777" w:rsidR="005015E1" w:rsidRPr="004B2D20" w:rsidRDefault="005015E1" w:rsidP="00BE7EA7">
            <w:pPr>
              <w:pStyle w:val="TableHeader"/>
              <w:jc w:val="both"/>
            </w:pPr>
            <w:r w:rsidRPr="004B2D20">
              <w:t>Version</w:t>
            </w:r>
          </w:p>
        </w:tc>
        <w:tc>
          <w:tcPr>
            <w:tcW w:w="1662" w:type="dxa"/>
            <w:shd w:val="clear" w:color="auto" w:fill="C00000"/>
          </w:tcPr>
          <w:p w14:paraId="6C0EB32A" w14:textId="77777777" w:rsidR="005015E1" w:rsidRPr="004B2D20" w:rsidRDefault="005015E1" w:rsidP="00BE7EA7">
            <w:pPr>
              <w:pStyle w:val="TableHeader"/>
              <w:jc w:val="both"/>
            </w:pPr>
            <w:r w:rsidRPr="004B2D20">
              <w:t>Date</w:t>
            </w:r>
          </w:p>
        </w:tc>
        <w:tc>
          <w:tcPr>
            <w:tcW w:w="2126" w:type="dxa"/>
            <w:shd w:val="clear" w:color="auto" w:fill="C00000"/>
          </w:tcPr>
          <w:p w14:paraId="0AFC52D7" w14:textId="77777777" w:rsidR="005015E1" w:rsidRPr="004B2D20" w:rsidRDefault="005015E1" w:rsidP="00BE7EA7">
            <w:pPr>
              <w:pStyle w:val="TableHeader"/>
              <w:jc w:val="both"/>
            </w:pPr>
            <w:r w:rsidRPr="004B2D20">
              <w:t>Brief Description of Change</w:t>
            </w:r>
          </w:p>
        </w:tc>
        <w:tc>
          <w:tcPr>
            <w:tcW w:w="1538" w:type="dxa"/>
            <w:shd w:val="clear" w:color="auto" w:fill="C00000"/>
          </w:tcPr>
          <w:p w14:paraId="0D02A9E5" w14:textId="77777777" w:rsidR="005015E1" w:rsidRPr="004B2D20" w:rsidRDefault="005015E1" w:rsidP="00BE7EA7">
            <w:pPr>
              <w:pStyle w:val="TableHeader"/>
              <w:jc w:val="both"/>
            </w:pPr>
            <w:r w:rsidRPr="004B2D20">
              <w:t>Approval Authority</w:t>
            </w:r>
          </w:p>
        </w:tc>
        <w:tc>
          <w:tcPr>
            <w:tcW w:w="2648" w:type="dxa"/>
            <w:shd w:val="clear" w:color="auto" w:fill="C00000"/>
          </w:tcPr>
          <w:p w14:paraId="3A3C7AFA" w14:textId="77777777" w:rsidR="005015E1" w:rsidRPr="004B2D20" w:rsidRDefault="005015E1" w:rsidP="00BE7EA7">
            <w:pPr>
              <w:pStyle w:val="TableHeader"/>
              <w:jc w:val="both"/>
            </w:pPr>
            <w:r w:rsidRPr="004B2D20">
              <w:t>Editor / Company</w:t>
            </w:r>
          </w:p>
        </w:tc>
      </w:tr>
      <w:tr w:rsidR="005015E1" w:rsidRPr="004B2D20" w14:paraId="3925A6AC" w14:textId="77777777" w:rsidTr="00BE7EA7">
        <w:tc>
          <w:tcPr>
            <w:tcW w:w="1042" w:type="dxa"/>
          </w:tcPr>
          <w:p w14:paraId="58654FE1" w14:textId="4CD2795C" w:rsidR="005015E1" w:rsidRPr="004B2D20" w:rsidRDefault="005015E1" w:rsidP="002B38A5">
            <w:pPr>
              <w:pStyle w:val="TableText"/>
            </w:pPr>
            <w:r>
              <w:t>1</w:t>
            </w:r>
            <w:r w:rsidR="002B38A5">
              <w:t>.0</w:t>
            </w:r>
          </w:p>
        </w:tc>
        <w:tc>
          <w:tcPr>
            <w:tcW w:w="1662" w:type="dxa"/>
          </w:tcPr>
          <w:p w14:paraId="41B642C7" w14:textId="77777777" w:rsidR="005015E1" w:rsidRPr="004B2D20" w:rsidRDefault="005015E1" w:rsidP="00BE7EA7">
            <w:pPr>
              <w:pStyle w:val="TableText"/>
            </w:pPr>
            <w:r>
              <w:t>2</w:t>
            </w:r>
            <w:r w:rsidRPr="004B2D20">
              <w:t>3/</w:t>
            </w:r>
            <w:r>
              <w:t>10</w:t>
            </w:r>
            <w:r w:rsidRPr="004B2D20">
              <w:t>/201</w:t>
            </w:r>
            <w:r>
              <w:t>8</w:t>
            </w:r>
          </w:p>
        </w:tc>
        <w:tc>
          <w:tcPr>
            <w:tcW w:w="2126" w:type="dxa"/>
          </w:tcPr>
          <w:p w14:paraId="082CB68C" w14:textId="77777777" w:rsidR="005015E1" w:rsidRPr="004B2D20" w:rsidRDefault="005015E1" w:rsidP="00BE7EA7">
            <w:pPr>
              <w:pStyle w:val="TableText"/>
            </w:pPr>
            <w:r w:rsidRPr="004B2D20">
              <w:t xml:space="preserve">New document </w:t>
            </w:r>
            <w:r>
              <w:t>created by merging definition and technical requirements documents and updating</w:t>
            </w:r>
          </w:p>
        </w:tc>
        <w:tc>
          <w:tcPr>
            <w:tcW w:w="1538" w:type="dxa"/>
          </w:tcPr>
          <w:p w14:paraId="3663BBB4" w14:textId="77777777" w:rsidR="005015E1" w:rsidRPr="004B2D20" w:rsidRDefault="005015E1" w:rsidP="00BE7EA7">
            <w:pPr>
              <w:pStyle w:val="TableText"/>
            </w:pPr>
            <w:r>
              <w:t>David Pollington/ GSMA</w:t>
            </w:r>
          </w:p>
        </w:tc>
        <w:tc>
          <w:tcPr>
            <w:tcW w:w="2648" w:type="dxa"/>
          </w:tcPr>
          <w:p w14:paraId="2B24ADA0" w14:textId="77777777" w:rsidR="005015E1" w:rsidRPr="004B2D20" w:rsidRDefault="005015E1" w:rsidP="00BE7EA7">
            <w:pPr>
              <w:pStyle w:val="TableText"/>
            </w:pPr>
            <w:r>
              <w:t xml:space="preserve">Nick Spencer </w:t>
            </w:r>
          </w:p>
        </w:tc>
      </w:tr>
      <w:tr w:rsidR="005015E1" w:rsidRPr="004B2D20" w14:paraId="4B7C4A76" w14:textId="77777777" w:rsidTr="00BE7EA7">
        <w:tc>
          <w:tcPr>
            <w:tcW w:w="1042" w:type="dxa"/>
          </w:tcPr>
          <w:p w14:paraId="1EAD8A92" w14:textId="706C906F" w:rsidR="005015E1" w:rsidRDefault="002B38A5" w:rsidP="002B38A5">
            <w:pPr>
              <w:pStyle w:val="TableText"/>
            </w:pPr>
            <w:r>
              <w:t>2.0</w:t>
            </w:r>
          </w:p>
        </w:tc>
        <w:tc>
          <w:tcPr>
            <w:tcW w:w="1662" w:type="dxa"/>
          </w:tcPr>
          <w:p w14:paraId="02A9B8B1" w14:textId="77777777" w:rsidR="005015E1" w:rsidRDefault="005015E1" w:rsidP="00BE7EA7">
            <w:pPr>
              <w:pStyle w:val="TableText"/>
            </w:pPr>
            <w:r>
              <w:t>07/02/2019</w:t>
            </w:r>
          </w:p>
        </w:tc>
        <w:tc>
          <w:tcPr>
            <w:tcW w:w="2126" w:type="dxa"/>
          </w:tcPr>
          <w:p w14:paraId="441F13E0" w14:textId="77777777" w:rsidR="005015E1" w:rsidRDefault="005015E1" w:rsidP="00BE7EA7">
            <w:pPr>
              <w:pStyle w:val="TableText"/>
            </w:pPr>
            <w:r>
              <w:t xml:space="preserve">Modified the document to remove DI mode related concepts, consent </w:t>
            </w:r>
            <w:proofErr w:type="spellStart"/>
            <w:r>
              <w:t>mangament</w:t>
            </w:r>
            <w:proofErr w:type="spellEnd"/>
            <w:r>
              <w:t xml:space="preserve"> is condensed now, </w:t>
            </w:r>
            <w:proofErr w:type="spellStart"/>
            <w:r>
              <w:t>DQRT</w:t>
            </w:r>
            <w:proofErr w:type="spellEnd"/>
            <w:r>
              <w:t xml:space="preserve"> comments are incorporated as it is. </w:t>
            </w:r>
          </w:p>
        </w:tc>
        <w:tc>
          <w:tcPr>
            <w:tcW w:w="1538" w:type="dxa"/>
          </w:tcPr>
          <w:p w14:paraId="774A4D58" w14:textId="77777777" w:rsidR="005015E1" w:rsidRDefault="005015E1" w:rsidP="00BE7EA7">
            <w:pPr>
              <w:pStyle w:val="TableText"/>
            </w:pPr>
            <w:r>
              <w:t>David Pollington / GSMA</w:t>
            </w:r>
          </w:p>
        </w:tc>
        <w:tc>
          <w:tcPr>
            <w:tcW w:w="2648" w:type="dxa"/>
          </w:tcPr>
          <w:p w14:paraId="7886190F" w14:textId="77777777" w:rsidR="005015E1" w:rsidRDefault="005015E1" w:rsidP="00BE7EA7">
            <w:pPr>
              <w:pStyle w:val="TableText"/>
            </w:pPr>
            <w:proofErr w:type="spellStart"/>
            <w:r>
              <w:t>Venkatasivakumar</w:t>
            </w:r>
            <w:proofErr w:type="spellEnd"/>
            <w:r>
              <w:t xml:space="preserve"> </w:t>
            </w:r>
            <w:proofErr w:type="spellStart"/>
            <w:r>
              <w:t>Boyalakuntla</w:t>
            </w:r>
            <w:proofErr w:type="spellEnd"/>
            <w:r>
              <w:t xml:space="preserve"> </w:t>
            </w:r>
            <w:proofErr w:type="gramStart"/>
            <w:r>
              <w:t>( Siva</w:t>
            </w:r>
            <w:proofErr w:type="gramEnd"/>
            <w:r>
              <w:t>)/ GSMA</w:t>
            </w:r>
          </w:p>
        </w:tc>
      </w:tr>
      <w:tr w:rsidR="00AA53E8" w:rsidRPr="004B2D20" w14:paraId="3599CC00" w14:textId="77777777" w:rsidTr="00BE7EA7">
        <w:tc>
          <w:tcPr>
            <w:tcW w:w="1042" w:type="dxa"/>
          </w:tcPr>
          <w:p w14:paraId="7956E86A" w14:textId="54BE39FE" w:rsidR="00AA53E8" w:rsidRDefault="00AA53E8" w:rsidP="002B38A5">
            <w:pPr>
              <w:pStyle w:val="TableText"/>
            </w:pPr>
            <w:r>
              <w:t>2.0</w:t>
            </w:r>
          </w:p>
        </w:tc>
        <w:tc>
          <w:tcPr>
            <w:tcW w:w="1662" w:type="dxa"/>
          </w:tcPr>
          <w:p w14:paraId="161F1A01" w14:textId="7460A568" w:rsidR="00AA53E8" w:rsidRDefault="00AA53E8" w:rsidP="00BE7EA7">
            <w:pPr>
              <w:pStyle w:val="TableText"/>
            </w:pPr>
            <w:r>
              <w:t>15/11/2022</w:t>
            </w:r>
          </w:p>
        </w:tc>
        <w:tc>
          <w:tcPr>
            <w:tcW w:w="2126" w:type="dxa"/>
          </w:tcPr>
          <w:p w14:paraId="423556A1" w14:textId="32C1CA7F" w:rsidR="00AA53E8" w:rsidRDefault="00AA53E8" w:rsidP="00BE7EA7">
            <w:pPr>
              <w:pStyle w:val="TableText"/>
            </w:pPr>
            <w:r>
              <w:t>Document ready for TG approval</w:t>
            </w:r>
          </w:p>
        </w:tc>
        <w:tc>
          <w:tcPr>
            <w:tcW w:w="1538" w:type="dxa"/>
          </w:tcPr>
          <w:p w14:paraId="13493628" w14:textId="006EAFA9" w:rsidR="00AA53E8" w:rsidRDefault="00AA53E8" w:rsidP="00BE7EA7">
            <w:pPr>
              <w:pStyle w:val="TableText"/>
            </w:pPr>
            <w:r>
              <w:t>TG</w:t>
            </w:r>
          </w:p>
        </w:tc>
        <w:tc>
          <w:tcPr>
            <w:tcW w:w="2648" w:type="dxa"/>
          </w:tcPr>
          <w:p w14:paraId="7AAF63EF" w14:textId="18C19CC8" w:rsidR="00AA53E8" w:rsidRDefault="00AA53E8" w:rsidP="00BE7EA7">
            <w:pPr>
              <w:pStyle w:val="TableText"/>
            </w:pPr>
            <w:r>
              <w:t>Yolanda Sanz/GSMA</w:t>
            </w:r>
          </w:p>
        </w:tc>
      </w:tr>
    </w:tbl>
    <w:p w14:paraId="7A416E00" w14:textId="77777777" w:rsidR="005015E1" w:rsidRPr="004B2D20" w:rsidRDefault="005015E1" w:rsidP="005015E1">
      <w:pPr>
        <w:pStyle w:val="ANNEX-heading1"/>
        <w:numPr>
          <w:ilvl w:val="1"/>
          <w:numId w:val="11"/>
        </w:numPr>
        <w:jc w:val="both"/>
        <w:rPr>
          <w:rFonts w:ascii="Arial" w:hAnsi="Arial" w:cs="Arial"/>
        </w:rPr>
      </w:pPr>
      <w:bookmarkStart w:id="150" w:name="_Toc327548015"/>
      <w:bookmarkStart w:id="151" w:name="_Toc327548215"/>
      <w:bookmarkStart w:id="152" w:name="_Toc466480074"/>
      <w:bookmarkStart w:id="153" w:name="_Toc119425911"/>
      <w:bookmarkStart w:id="154" w:name="_Toc121260659"/>
      <w:r w:rsidRPr="004B2D20">
        <w:rPr>
          <w:rFonts w:ascii="Arial" w:hAnsi="Arial" w:cs="Arial"/>
        </w:rPr>
        <w:t>Other Information</w:t>
      </w:r>
      <w:bookmarkEnd w:id="150"/>
      <w:bookmarkEnd w:id="151"/>
      <w:bookmarkEnd w:id="152"/>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5015E1" w:rsidRPr="004B2D20" w14:paraId="552441CC" w14:textId="77777777" w:rsidTr="00BE7EA7">
        <w:tc>
          <w:tcPr>
            <w:tcW w:w="3188" w:type="dxa"/>
            <w:shd w:val="clear" w:color="auto" w:fill="C00000"/>
          </w:tcPr>
          <w:p w14:paraId="3B25EDBC" w14:textId="77777777" w:rsidR="005015E1" w:rsidRPr="004B2D20" w:rsidRDefault="005015E1" w:rsidP="00BE7EA7">
            <w:pPr>
              <w:pStyle w:val="TableHeader"/>
              <w:jc w:val="both"/>
            </w:pPr>
            <w:r w:rsidRPr="004B2D20">
              <w:t>Type</w:t>
            </w:r>
          </w:p>
        </w:tc>
        <w:tc>
          <w:tcPr>
            <w:tcW w:w="5996" w:type="dxa"/>
            <w:shd w:val="clear" w:color="auto" w:fill="C00000"/>
          </w:tcPr>
          <w:p w14:paraId="391E2954" w14:textId="77777777" w:rsidR="005015E1" w:rsidRPr="004B2D20" w:rsidRDefault="005015E1" w:rsidP="00BE7EA7">
            <w:pPr>
              <w:pStyle w:val="TableHeader"/>
              <w:jc w:val="both"/>
            </w:pPr>
            <w:r w:rsidRPr="004B2D20">
              <w:t>Description</w:t>
            </w:r>
          </w:p>
        </w:tc>
      </w:tr>
      <w:tr w:rsidR="005015E1" w:rsidRPr="004B2D20" w14:paraId="23C53975" w14:textId="77777777" w:rsidTr="00BE7EA7">
        <w:tc>
          <w:tcPr>
            <w:tcW w:w="3188" w:type="dxa"/>
          </w:tcPr>
          <w:p w14:paraId="6AFD177B" w14:textId="77777777" w:rsidR="005015E1" w:rsidRPr="004B2D20" w:rsidRDefault="005015E1" w:rsidP="00BE7EA7">
            <w:pPr>
              <w:pStyle w:val="TableText"/>
              <w:jc w:val="both"/>
              <w:rPr>
                <w:rFonts w:cs="Arial"/>
              </w:rPr>
            </w:pPr>
            <w:r w:rsidRPr="004B2D20">
              <w:rPr>
                <w:rFonts w:cs="Arial"/>
              </w:rPr>
              <w:t>Document Owner</w:t>
            </w:r>
          </w:p>
        </w:tc>
        <w:tc>
          <w:tcPr>
            <w:tcW w:w="5996" w:type="dxa"/>
          </w:tcPr>
          <w:p w14:paraId="0A7ACADD" w14:textId="08876FB9" w:rsidR="005015E1" w:rsidRPr="004B2D20" w:rsidRDefault="00AA53E8" w:rsidP="00BE7EA7">
            <w:pPr>
              <w:pStyle w:val="TableText"/>
              <w:jc w:val="both"/>
              <w:rPr>
                <w:rFonts w:cs="Arial"/>
              </w:rPr>
            </w:pPr>
            <w:proofErr w:type="spellStart"/>
            <w:r>
              <w:rPr>
                <w:rFonts w:cs="Arial"/>
              </w:rPr>
              <w:t>IDG</w:t>
            </w:r>
            <w:proofErr w:type="spellEnd"/>
          </w:p>
        </w:tc>
      </w:tr>
      <w:tr w:rsidR="005015E1" w:rsidRPr="004B2D20" w14:paraId="45C6F5F1" w14:textId="77777777" w:rsidTr="00BE7EA7">
        <w:tc>
          <w:tcPr>
            <w:tcW w:w="3188" w:type="dxa"/>
          </w:tcPr>
          <w:p w14:paraId="603A07AE" w14:textId="77777777" w:rsidR="005015E1" w:rsidRPr="004B2D20" w:rsidRDefault="005015E1" w:rsidP="00BE7EA7">
            <w:pPr>
              <w:pStyle w:val="TableText"/>
              <w:jc w:val="both"/>
              <w:rPr>
                <w:rFonts w:cs="Arial"/>
              </w:rPr>
            </w:pPr>
            <w:r w:rsidRPr="004B2D20">
              <w:rPr>
                <w:rFonts w:cs="Arial"/>
              </w:rPr>
              <w:t>Editor / Company</w:t>
            </w:r>
          </w:p>
        </w:tc>
        <w:tc>
          <w:tcPr>
            <w:tcW w:w="5996" w:type="dxa"/>
          </w:tcPr>
          <w:p w14:paraId="61D865D1" w14:textId="7AC26060" w:rsidR="005015E1" w:rsidRPr="004B2D20" w:rsidRDefault="00AA53E8" w:rsidP="00BE7EA7">
            <w:pPr>
              <w:pStyle w:val="TableText"/>
              <w:jc w:val="both"/>
              <w:rPr>
                <w:rFonts w:cs="Arial"/>
              </w:rPr>
            </w:pPr>
            <w:hyperlink r:id="rId17" w:history="1">
              <w:r w:rsidRPr="00283E2A">
                <w:rPr>
                  <w:rStyle w:val="Hyperlink"/>
                  <w:rFonts w:cs="Arial"/>
                </w:rPr>
                <w:t>Yolanda</w:t>
              </w:r>
            </w:hyperlink>
            <w:r>
              <w:rPr>
                <w:rFonts w:cs="Arial"/>
              </w:rPr>
              <w:t xml:space="preserve"> Sanz, GSMA</w:t>
            </w:r>
          </w:p>
        </w:tc>
      </w:tr>
    </w:tbl>
    <w:p w14:paraId="7CD5F16B" w14:textId="77777777" w:rsidR="005015E1" w:rsidRPr="004B2D20" w:rsidRDefault="005015E1" w:rsidP="005015E1">
      <w:pPr>
        <w:pStyle w:val="NormalParagraph"/>
        <w:rPr>
          <w:rFonts w:cs="Arial"/>
        </w:rPr>
      </w:pPr>
    </w:p>
    <w:p w14:paraId="369B9207" w14:textId="77777777" w:rsidR="005015E1" w:rsidRPr="004B2D20" w:rsidRDefault="005015E1" w:rsidP="005015E1">
      <w:pPr>
        <w:pStyle w:val="NormalParagraph"/>
        <w:rPr>
          <w:rFonts w:cs="Arial"/>
        </w:rPr>
      </w:pPr>
      <w:r w:rsidRPr="004B2D20">
        <w:rPr>
          <w:rFonts w:cs="Arial"/>
        </w:rPr>
        <w:t xml:space="preserve">It is our intention to provide a quality product for your use. If you find any errors or omissions, please contact us with your comments. You may notify us at </w:t>
      </w:r>
      <w:hyperlink r:id="rId18" w:history="1">
        <w:r w:rsidRPr="004B2D20">
          <w:rPr>
            <w:rStyle w:val="Hyperlink"/>
            <w:rFonts w:cs="Arial"/>
          </w:rPr>
          <w:t>prd@gsma.com</w:t>
        </w:r>
      </w:hyperlink>
      <w:r w:rsidRPr="004B2D20">
        <w:rPr>
          <w:rFonts w:cs="Arial"/>
        </w:rPr>
        <w:t>.</w:t>
      </w:r>
    </w:p>
    <w:p w14:paraId="093DEFA3" w14:textId="77777777" w:rsidR="005015E1" w:rsidRPr="00B04AA3" w:rsidRDefault="005015E1" w:rsidP="005015E1">
      <w:pPr>
        <w:pStyle w:val="NormalParagraph"/>
        <w:rPr>
          <w:rFonts w:cs="Arial"/>
        </w:rPr>
      </w:pPr>
      <w:r w:rsidRPr="004B2D20">
        <w:rPr>
          <w:rFonts w:cs="Arial"/>
        </w:rPr>
        <w:t>Your comments or suggestions &amp; questions are always welcome.</w:t>
      </w:r>
    </w:p>
    <w:p w14:paraId="281EF292" w14:textId="77777777" w:rsidR="005015E1" w:rsidRPr="00857001" w:rsidRDefault="005015E1" w:rsidP="005015E1">
      <w:pPr>
        <w:pStyle w:val="Heading1"/>
        <w:numPr>
          <w:ilvl w:val="0"/>
          <w:numId w:val="0"/>
        </w:numPr>
        <w:ind w:left="431"/>
      </w:pPr>
    </w:p>
    <w:p w14:paraId="787263EB" w14:textId="77777777" w:rsidR="00D05735" w:rsidRDefault="00D05735">
      <w:pPr>
        <w:rPr>
          <w:rFonts w:cs="Arial"/>
          <w:b/>
          <w:bCs/>
          <w:sz w:val="28"/>
          <w:szCs w:val="32"/>
        </w:rPr>
      </w:pPr>
    </w:p>
    <w:sectPr w:rsidR="00D05735" w:rsidSect="00BE7EA7">
      <w:headerReference w:type="even" r:id="rId19"/>
      <w:headerReference w:type="default" r:id="rId20"/>
      <w:footerReference w:type="default" r:id="rId21"/>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ADB0" w14:textId="77777777" w:rsidR="00947CD6" w:rsidRDefault="00947CD6">
      <w:r>
        <w:separator/>
      </w:r>
    </w:p>
    <w:p w14:paraId="31F20CEF" w14:textId="77777777" w:rsidR="00947CD6" w:rsidRDefault="00947CD6"/>
  </w:endnote>
  <w:endnote w:type="continuationSeparator" w:id="0">
    <w:p w14:paraId="10C6F2A7" w14:textId="77777777" w:rsidR="00947CD6" w:rsidRDefault="00947CD6">
      <w:r>
        <w:continuationSeparator/>
      </w:r>
    </w:p>
    <w:p w14:paraId="3B57A1AC" w14:textId="77777777" w:rsidR="00947CD6" w:rsidRDefault="00947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variable"/>
    <w:sig w:usb0="00000003"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41F" w14:textId="60FAE98A" w:rsidR="006E28FA" w:rsidRDefault="006E28FA" w:rsidP="00A95E1E">
    <w:pPr>
      <w:pStyle w:val="Footer"/>
      <w:rPr>
        <w:i/>
      </w:rPr>
    </w:pPr>
    <w:r>
      <w:tab/>
      <w:t xml:space="preserve">Page </w:t>
    </w:r>
    <w:r>
      <w:fldChar w:fldCharType="begin"/>
    </w:r>
    <w:r>
      <w:instrText xml:space="preserve"> PAGE </w:instrText>
    </w:r>
    <w:r>
      <w:fldChar w:fldCharType="separate"/>
    </w:r>
    <w:r w:rsidR="002B38A5">
      <w:rPr>
        <w:noProof/>
      </w:rPr>
      <w:t>19</w:t>
    </w:r>
    <w:r>
      <w:fldChar w:fldCharType="end"/>
    </w:r>
    <w:r>
      <w:t xml:space="preserve"> of </w:t>
    </w:r>
    <w:r>
      <w:rPr>
        <w:noProof/>
      </w:rPr>
      <w:fldChar w:fldCharType="begin"/>
    </w:r>
    <w:r>
      <w:rPr>
        <w:noProof/>
      </w:rPr>
      <w:instrText xml:space="preserve"> NUMPAGES  </w:instrText>
    </w:r>
    <w:r>
      <w:rPr>
        <w:noProof/>
      </w:rPr>
      <w:fldChar w:fldCharType="separate"/>
    </w:r>
    <w:r w:rsidR="002B38A5">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C7F8" w14:textId="77777777" w:rsidR="00947CD6" w:rsidRDefault="00947CD6" w:rsidP="009527C9">
      <w:r>
        <w:separator/>
      </w:r>
    </w:p>
  </w:footnote>
  <w:footnote w:type="continuationSeparator" w:id="0">
    <w:p w14:paraId="13CEEB3D" w14:textId="77777777" w:rsidR="00947CD6" w:rsidRDefault="00947CD6" w:rsidP="009527C9">
      <w:r>
        <w:continuationSeparator/>
      </w:r>
    </w:p>
  </w:footnote>
  <w:footnote w:type="continuationNotice" w:id="1">
    <w:p w14:paraId="558F4169" w14:textId="77777777" w:rsidR="00947CD6" w:rsidRDefault="00947CD6"/>
  </w:footnote>
  <w:footnote w:id="2">
    <w:p w14:paraId="42949304" w14:textId="140647EE" w:rsidR="006E28FA" w:rsidRPr="008D669C" w:rsidRDefault="006E28FA" w:rsidP="005015E1">
      <w:pPr>
        <w:pStyle w:val="FootnoteText"/>
        <w:rPr>
          <w:lang w:val="en-US"/>
        </w:rPr>
      </w:pPr>
      <w:r>
        <w:rPr>
          <w:rStyle w:val="FootnoteReference"/>
        </w:rPr>
        <w:footnoteRef/>
      </w:r>
      <w:r>
        <w:t xml:space="preserve"> </w:t>
      </w:r>
      <w:r w:rsidRPr="00E56CD0">
        <w:t xml:space="preserve">In OAuth2.0 the initial request is referred to as an “Authorization Request”, whereas in OIDC it is referred to as an “Authentication Request”. Mobile Connect offers several services including </w:t>
      </w:r>
      <w:r w:rsidR="004635AA">
        <w:t>Mobile Connect</w:t>
      </w:r>
      <w:r w:rsidRPr="00EE74A2">
        <w:rPr>
          <w:lang w:val="en-US"/>
        </w:rPr>
        <w:t xml:space="preserve"> </w:t>
      </w:r>
      <w:r>
        <w:rPr>
          <w:lang w:val="en-US"/>
        </w:rPr>
        <w:t>A</w:t>
      </w:r>
      <w:r w:rsidRPr="00EE74A2">
        <w:rPr>
          <w:lang w:val="en-US"/>
        </w:rPr>
        <w:t>uthentication</w:t>
      </w:r>
      <w:r>
        <w:rPr>
          <w:lang w:val="en-US"/>
        </w:rPr>
        <w:t xml:space="preserve"> and MC Authorisation</w:t>
      </w:r>
      <w:r w:rsidRPr="00EE74A2">
        <w:rPr>
          <w:lang w:val="en-US"/>
        </w:rPr>
        <w:t xml:space="preserve">, </w:t>
      </w:r>
      <w:r>
        <w:rPr>
          <w:lang w:val="en-US"/>
        </w:rPr>
        <w:t>hence MC</w:t>
      </w:r>
      <w:r w:rsidRPr="00EE74A2">
        <w:rPr>
          <w:lang w:val="en-US"/>
        </w:rPr>
        <w:t xml:space="preserve"> specifications </w:t>
      </w:r>
      <w:r>
        <w:rPr>
          <w:lang w:val="en-US"/>
        </w:rPr>
        <w:t xml:space="preserve">have </w:t>
      </w:r>
      <w:r w:rsidRPr="00EE74A2">
        <w:rPr>
          <w:lang w:val="en-US"/>
        </w:rPr>
        <w:t>ad</w:t>
      </w:r>
      <w:r>
        <w:rPr>
          <w:lang w:val="en-US"/>
        </w:rPr>
        <w:t>o</w:t>
      </w:r>
      <w:r w:rsidRPr="00EE74A2">
        <w:rPr>
          <w:lang w:val="en-US"/>
        </w:rPr>
        <w:t xml:space="preserve">pted </w:t>
      </w:r>
      <w:r>
        <w:rPr>
          <w:lang w:val="en-US"/>
        </w:rPr>
        <w:t>the term “</w:t>
      </w:r>
      <w:r w:rsidRPr="00EE74A2">
        <w:rPr>
          <w:lang w:val="en-US"/>
        </w:rPr>
        <w:t xml:space="preserve">OIDC Authorization </w:t>
      </w:r>
      <w:r>
        <w:rPr>
          <w:lang w:val="en-US"/>
        </w:rPr>
        <w:t>R</w:t>
      </w:r>
      <w:r w:rsidRPr="00EE74A2">
        <w:rPr>
          <w:lang w:val="en-US"/>
        </w:rPr>
        <w:t>equest</w:t>
      </w:r>
      <w:r>
        <w:rPr>
          <w:lang w:val="en-US"/>
        </w:rPr>
        <w:t>”</w:t>
      </w:r>
      <w:r w:rsidRPr="00EE74A2">
        <w:rPr>
          <w:lang w:val="en-US"/>
        </w:rPr>
        <w:t xml:space="preserve"> to describe </w:t>
      </w:r>
      <w:r>
        <w:rPr>
          <w:lang w:val="en-US"/>
        </w:rPr>
        <w:t xml:space="preserve">this </w:t>
      </w:r>
      <w:r w:rsidRPr="00EE74A2">
        <w:rPr>
          <w:lang w:val="en-US"/>
        </w:rPr>
        <w:t xml:space="preserve">initial </w:t>
      </w:r>
      <w:r>
        <w:rPr>
          <w:lang w:val="en-US"/>
        </w:rPr>
        <w:t xml:space="preserve">service </w:t>
      </w:r>
      <w:r w:rsidRPr="00EE74A2">
        <w:rPr>
          <w:lang w:val="en-US"/>
        </w:rPr>
        <w:t>request in the protocol flow.</w:t>
      </w:r>
    </w:p>
    <w:p w14:paraId="58D8DABE" w14:textId="77777777" w:rsidR="006E28FA" w:rsidRDefault="006E28FA" w:rsidP="005015E1">
      <w:pPr>
        <w:pStyle w:val="FootnoteText"/>
      </w:pPr>
    </w:p>
  </w:footnote>
  <w:footnote w:id="3">
    <w:p w14:paraId="07D7BF25" w14:textId="241DC495" w:rsidR="006E28FA" w:rsidRDefault="006E28FA" w:rsidP="005015E1">
      <w:pPr>
        <w:pStyle w:val="FootnoteText"/>
      </w:pPr>
      <w:r>
        <w:rPr>
          <w:rStyle w:val="FootnoteReference"/>
        </w:rPr>
        <w:footnoteRef/>
      </w:r>
      <w:r>
        <w:t xml:space="preserve"> The SP will register </w:t>
      </w:r>
      <w:r>
        <w:t xml:space="preserve">client_names parameter during registration, that can contain either one or multiple client names. The ID GW must maintain this list for verification. </w:t>
      </w:r>
    </w:p>
  </w:footnote>
  <w:footnote w:id="4">
    <w:p w14:paraId="7ACCB1E0" w14:textId="77777777" w:rsidR="006E28FA" w:rsidRDefault="006E28FA" w:rsidP="005015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41B" w14:textId="77777777" w:rsidR="006E28FA" w:rsidRDefault="006E28FA" w:rsidP="00427F8A">
    <w:pPr>
      <w:pStyle w:val="NormalParagraph"/>
    </w:pPr>
  </w:p>
  <w:p w14:paraId="7872641C" w14:textId="77777777" w:rsidR="006E28FA" w:rsidRDefault="006E28FA"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41D" w14:textId="3EE3C6B4" w:rsidR="006E28FA" w:rsidRDefault="006E28FA" w:rsidP="00BE7EA7">
    <w:pPr>
      <w:pStyle w:val="Header"/>
    </w:pPr>
    <w:r>
      <w:t>GSM Association</w:t>
    </w:r>
    <w:r>
      <w:tab/>
    </w:r>
    <w:sdt>
      <w:sdtPr>
        <w:alias w:val="Security Classification"/>
        <w:tag w:val="GSMASecurityGroup"/>
        <w:id w:val="1711992501"/>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D612F80C-BCC6-4708-8333-327470281DFD}"/>
        <w:dropDownList w:lastValue="Non-confidential">
          <w:listItem w:value="[Security Classification]"/>
        </w:dropDownList>
      </w:sdtPr>
      <w:sdtContent>
        <w:proofErr w:type="gramStart"/>
        <w:r w:rsidR="00554611">
          <w:t>Non-confidential</w:t>
        </w:r>
        <w:proofErr w:type="gramEnd"/>
      </w:sdtContent>
    </w:sdt>
  </w:p>
  <w:sdt>
    <w:sdtPr>
      <w:alias w:val="Document Title"/>
      <w:tag w:val="GSMATitle"/>
      <w:id w:val="807747361"/>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Content>
      <w:p w14:paraId="7872641E" w14:textId="77A310EF" w:rsidR="006E28FA" w:rsidRPr="00F04B04" w:rsidRDefault="00554611" w:rsidP="00A95E1E">
        <w:pPr>
          <w:pStyle w:val="Header"/>
        </w:pPr>
        <w:r>
          <w:t xml:space="preserve">IDY.24 </w:t>
        </w:r>
        <w:r w:rsidR="00AA53E8">
          <w:t xml:space="preserve">Mobile Connect Account Takeover Protection Definition and Technical Requirements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9F5E45"/>
    <w:multiLevelType w:val="multilevel"/>
    <w:tmpl w:val="78A61140"/>
    <w:numStyleLink w:val="ListBullets"/>
  </w:abstractNum>
  <w:abstractNum w:abstractNumId="2"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DA55AC7"/>
    <w:multiLevelType w:val="hybridMultilevel"/>
    <w:tmpl w:val="9276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1531" w:hanging="15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787FB8"/>
    <w:multiLevelType w:val="hybridMultilevel"/>
    <w:tmpl w:val="301E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F39E8"/>
    <w:multiLevelType w:val="hybridMultilevel"/>
    <w:tmpl w:val="9EEC5BCA"/>
    <w:styleLink w:val="LegalList"/>
    <w:lvl w:ilvl="0" w:tplc="C466092C">
      <w:start w:val="1"/>
      <w:numFmt w:val="lowerLetter"/>
      <w:lvlText w:val="%1)"/>
      <w:lvlJc w:val="left"/>
      <w:pPr>
        <w:tabs>
          <w:tab w:val="num" w:pos="1000"/>
        </w:tabs>
        <w:ind w:left="1000" w:hanging="360"/>
      </w:pPr>
    </w:lvl>
    <w:lvl w:ilvl="1" w:tplc="08090019" w:tentative="1">
      <w:start w:val="1"/>
      <w:numFmt w:val="lowerLetter"/>
      <w:lvlText w:val="%2."/>
      <w:lvlJc w:val="left"/>
      <w:pPr>
        <w:tabs>
          <w:tab w:val="num" w:pos="1720"/>
        </w:tabs>
        <w:ind w:left="1720" w:hanging="360"/>
      </w:pPr>
    </w:lvl>
    <w:lvl w:ilvl="2" w:tplc="0809001B" w:tentative="1">
      <w:start w:val="1"/>
      <w:numFmt w:val="lowerRoman"/>
      <w:lvlText w:val="%3."/>
      <w:lvlJc w:val="right"/>
      <w:pPr>
        <w:tabs>
          <w:tab w:val="num" w:pos="2440"/>
        </w:tabs>
        <w:ind w:left="2440" w:hanging="180"/>
      </w:pPr>
    </w:lvl>
    <w:lvl w:ilvl="3" w:tplc="0809000F" w:tentative="1">
      <w:start w:val="1"/>
      <w:numFmt w:val="decimal"/>
      <w:lvlText w:val="%4."/>
      <w:lvlJc w:val="left"/>
      <w:pPr>
        <w:tabs>
          <w:tab w:val="num" w:pos="3160"/>
        </w:tabs>
        <w:ind w:left="3160" w:hanging="360"/>
      </w:pPr>
    </w:lvl>
    <w:lvl w:ilvl="4" w:tplc="08090019" w:tentative="1">
      <w:start w:val="1"/>
      <w:numFmt w:val="lowerLetter"/>
      <w:lvlText w:val="%5."/>
      <w:lvlJc w:val="left"/>
      <w:pPr>
        <w:tabs>
          <w:tab w:val="num" w:pos="3880"/>
        </w:tabs>
        <w:ind w:left="3880" w:hanging="360"/>
      </w:pPr>
    </w:lvl>
    <w:lvl w:ilvl="5" w:tplc="0809001B" w:tentative="1">
      <w:start w:val="1"/>
      <w:numFmt w:val="lowerRoman"/>
      <w:lvlText w:val="%6."/>
      <w:lvlJc w:val="right"/>
      <w:pPr>
        <w:tabs>
          <w:tab w:val="num" w:pos="4600"/>
        </w:tabs>
        <w:ind w:left="4600" w:hanging="180"/>
      </w:pPr>
    </w:lvl>
    <w:lvl w:ilvl="6" w:tplc="0809000F" w:tentative="1">
      <w:start w:val="1"/>
      <w:numFmt w:val="decimal"/>
      <w:lvlText w:val="%7."/>
      <w:lvlJc w:val="left"/>
      <w:pPr>
        <w:tabs>
          <w:tab w:val="num" w:pos="5320"/>
        </w:tabs>
        <w:ind w:left="5320" w:hanging="360"/>
      </w:pPr>
    </w:lvl>
    <w:lvl w:ilvl="7" w:tplc="08090019" w:tentative="1">
      <w:start w:val="1"/>
      <w:numFmt w:val="lowerLetter"/>
      <w:lvlText w:val="%8."/>
      <w:lvlJc w:val="left"/>
      <w:pPr>
        <w:tabs>
          <w:tab w:val="num" w:pos="6040"/>
        </w:tabs>
        <w:ind w:left="6040" w:hanging="360"/>
      </w:pPr>
    </w:lvl>
    <w:lvl w:ilvl="8" w:tplc="0809001B" w:tentative="1">
      <w:start w:val="1"/>
      <w:numFmt w:val="lowerRoman"/>
      <w:lvlText w:val="%9."/>
      <w:lvlJc w:val="right"/>
      <w:pPr>
        <w:tabs>
          <w:tab w:val="num" w:pos="6760"/>
        </w:tabs>
        <w:ind w:left="6760" w:hanging="180"/>
      </w:p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A4878"/>
    <w:multiLevelType w:val="multilevel"/>
    <w:tmpl w:val="7B2CD562"/>
    <w:numStyleLink w:val="ListNumbers"/>
  </w:abstractNum>
  <w:abstractNum w:abstractNumId="1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7F604E"/>
    <w:multiLevelType w:val="hybridMultilevel"/>
    <w:tmpl w:val="CC36C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F1C73F0"/>
    <w:multiLevelType w:val="multilevel"/>
    <w:tmpl w:val="2716C722"/>
    <w:lvl w:ilvl="0">
      <w:start w:val="1"/>
      <w:numFmt w:val="bullet"/>
      <w:lvlText w:val=""/>
      <w:lvlJc w:val="left"/>
      <w:pPr>
        <w:ind w:left="360" w:hanging="360"/>
      </w:pPr>
      <w:rPr>
        <w:rFonts w:ascii="Symbol" w:hAnsi="Symbol" w:hint="default"/>
      </w:rPr>
    </w:lvl>
    <w:lvl w:ilvl="1">
      <w:start w:val="1"/>
      <w:numFmt w:val="bullet"/>
      <w:lvlText w:val=""/>
      <w:lvlJc w:val="left"/>
      <w:pPr>
        <w:ind w:left="1040" w:hanging="360"/>
      </w:pPr>
      <w:rPr>
        <w:rFonts w:ascii="Symbol" w:hAnsi="Symbol" w:hint="default"/>
      </w:rPr>
    </w:lvl>
    <w:lvl w:ilvl="2">
      <w:start w:val="1"/>
      <w:numFmt w:val="lowerRoman"/>
      <w:lvlText w:val="%3."/>
      <w:lvlJc w:val="left"/>
      <w:pPr>
        <w:tabs>
          <w:tab w:val="num" w:pos="1360"/>
        </w:tabs>
        <w:ind w:left="1700" w:hanging="340"/>
      </w:pPr>
      <w:rPr>
        <w:rFonts w:hint="default"/>
      </w:rPr>
    </w:lvl>
    <w:lvl w:ilvl="3">
      <w:start w:val="1"/>
      <w:numFmt w:val="none"/>
      <w:lvlText w:val="%4"/>
      <w:lvlJc w:val="left"/>
      <w:pPr>
        <w:tabs>
          <w:tab w:val="num" w:pos="2040"/>
        </w:tabs>
        <w:ind w:left="2380" w:hanging="340"/>
      </w:pPr>
      <w:rPr>
        <w:rFonts w:hint="default"/>
      </w:rPr>
    </w:lvl>
    <w:lvl w:ilvl="4">
      <w:start w:val="1"/>
      <w:numFmt w:val="none"/>
      <w:lvlText w:val="%5"/>
      <w:lvlJc w:val="left"/>
      <w:pPr>
        <w:tabs>
          <w:tab w:val="num" w:pos="2720"/>
        </w:tabs>
        <w:ind w:left="3060" w:hanging="340"/>
      </w:pPr>
      <w:rPr>
        <w:rFonts w:hint="default"/>
      </w:rPr>
    </w:lvl>
    <w:lvl w:ilvl="5">
      <w:start w:val="1"/>
      <w:numFmt w:val="none"/>
      <w:lvlText w:val="%6"/>
      <w:lvlJc w:val="right"/>
      <w:pPr>
        <w:tabs>
          <w:tab w:val="num" w:pos="3400"/>
        </w:tabs>
        <w:ind w:left="3740" w:hanging="340"/>
      </w:pPr>
      <w:rPr>
        <w:rFonts w:hint="default"/>
      </w:rPr>
    </w:lvl>
    <w:lvl w:ilvl="6">
      <w:start w:val="1"/>
      <w:numFmt w:val="none"/>
      <w:lvlText w:val="%7"/>
      <w:lvlJc w:val="left"/>
      <w:pPr>
        <w:tabs>
          <w:tab w:val="num" w:pos="4080"/>
        </w:tabs>
        <w:ind w:left="4420" w:hanging="340"/>
      </w:pPr>
      <w:rPr>
        <w:rFonts w:hint="default"/>
      </w:rPr>
    </w:lvl>
    <w:lvl w:ilvl="7">
      <w:start w:val="1"/>
      <w:numFmt w:val="none"/>
      <w:lvlText w:val="%8"/>
      <w:lvlJc w:val="left"/>
      <w:pPr>
        <w:tabs>
          <w:tab w:val="num" w:pos="4760"/>
        </w:tabs>
        <w:ind w:left="5100" w:hanging="340"/>
      </w:pPr>
      <w:rPr>
        <w:rFonts w:hint="default"/>
      </w:rPr>
    </w:lvl>
    <w:lvl w:ilvl="8">
      <w:start w:val="1"/>
      <w:numFmt w:val="none"/>
      <w:lvlText w:val="%9"/>
      <w:lvlJc w:val="right"/>
      <w:pPr>
        <w:tabs>
          <w:tab w:val="num" w:pos="5440"/>
        </w:tabs>
        <w:ind w:left="5780" w:hanging="340"/>
      </w:pPr>
      <w:rPr>
        <w:rFonts w:hint="default"/>
      </w:rPr>
    </w:lvl>
  </w:abstractNum>
  <w:abstractNum w:abstractNumId="18"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20" w15:restartNumberingAfterBreak="0">
    <w:nsid w:val="70913546"/>
    <w:multiLevelType w:val="multilevel"/>
    <w:tmpl w:val="2716C722"/>
    <w:lvl w:ilvl="0">
      <w:start w:val="1"/>
      <w:numFmt w:val="bullet"/>
      <w:lvlText w:val=""/>
      <w:lvlJc w:val="left"/>
      <w:pPr>
        <w:ind w:left="360" w:hanging="360"/>
      </w:pPr>
      <w:rPr>
        <w:rFonts w:ascii="Symbol" w:hAnsi="Symbol" w:hint="default"/>
      </w:rPr>
    </w:lvl>
    <w:lvl w:ilvl="1">
      <w:start w:val="1"/>
      <w:numFmt w:val="bullet"/>
      <w:lvlText w:val=""/>
      <w:lvlJc w:val="left"/>
      <w:pPr>
        <w:ind w:left="1040" w:hanging="360"/>
      </w:pPr>
      <w:rPr>
        <w:rFonts w:ascii="Symbol" w:hAnsi="Symbol" w:hint="default"/>
      </w:rPr>
    </w:lvl>
    <w:lvl w:ilvl="2">
      <w:start w:val="1"/>
      <w:numFmt w:val="lowerRoman"/>
      <w:lvlText w:val="%3."/>
      <w:lvlJc w:val="left"/>
      <w:pPr>
        <w:tabs>
          <w:tab w:val="num" w:pos="1360"/>
        </w:tabs>
        <w:ind w:left="1700" w:hanging="340"/>
      </w:pPr>
      <w:rPr>
        <w:rFonts w:hint="default"/>
      </w:rPr>
    </w:lvl>
    <w:lvl w:ilvl="3">
      <w:start w:val="1"/>
      <w:numFmt w:val="none"/>
      <w:lvlText w:val="%4"/>
      <w:lvlJc w:val="left"/>
      <w:pPr>
        <w:tabs>
          <w:tab w:val="num" w:pos="2040"/>
        </w:tabs>
        <w:ind w:left="2380" w:hanging="340"/>
      </w:pPr>
      <w:rPr>
        <w:rFonts w:hint="default"/>
      </w:rPr>
    </w:lvl>
    <w:lvl w:ilvl="4">
      <w:start w:val="1"/>
      <w:numFmt w:val="none"/>
      <w:lvlText w:val="%5"/>
      <w:lvlJc w:val="left"/>
      <w:pPr>
        <w:tabs>
          <w:tab w:val="num" w:pos="2720"/>
        </w:tabs>
        <w:ind w:left="3060" w:hanging="340"/>
      </w:pPr>
      <w:rPr>
        <w:rFonts w:hint="default"/>
      </w:rPr>
    </w:lvl>
    <w:lvl w:ilvl="5">
      <w:start w:val="1"/>
      <w:numFmt w:val="none"/>
      <w:lvlText w:val="%6"/>
      <w:lvlJc w:val="right"/>
      <w:pPr>
        <w:tabs>
          <w:tab w:val="num" w:pos="3400"/>
        </w:tabs>
        <w:ind w:left="3740" w:hanging="340"/>
      </w:pPr>
      <w:rPr>
        <w:rFonts w:hint="default"/>
      </w:rPr>
    </w:lvl>
    <w:lvl w:ilvl="6">
      <w:start w:val="1"/>
      <w:numFmt w:val="none"/>
      <w:lvlText w:val="%7"/>
      <w:lvlJc w:val="left"/>
      <w:pPr>
        <w:tabs>
          <w:tab w:val="num" w:pos="4080"/>
        </w:tabs>
        <w:ind w:left="4420" w:hanging="340"/>
      </w:pPr>
      <w:rPr>
        <w:rFonts w:hint="default"/>
      </w:rPr>
    </w:lvl>
    <w:lvl w:ilvl="7">
      <w:start w:val="1"/>
      <w:numFmt w:val="none"/>
      <w:lvlText w:val="%8"/>
      <w:lvlJc w:val="left"/>
      <w:pPr>
        <w:tabs>
          <w:tab w:val="num" w:pos="4760"/>
        </w:tabs>
        <w:ind w:left="5100" w:hanging="340"/>
      </w:pPr>
      <w:rPr>
        <w:rFonts w:hint="default"/>
      </w:rPr>
    </w:lvl>
    <w:lvl w:ilvl="8">
      <w:start w:val="1"/>
      <w:numFmt w:val="none"/>
      <w:lvlText w:val="%9"/>
      <w:lvlJc w:val="right"/>
      <w:pPr>
        <w:tabs>
          <w:tab w:val="num" w:pos="5440"/>
        </w:tabs>
        <w:ind w:left="5780" w:hanging="340"/>
      </w:pPr>
      <w:rPr>
        <w:rFonts w:hint="default"/>
      </w:rPr>
    </w:lvl>
  </w:abstractNum>
  <w:abstractNum w:abstractNumId="21" w15:restartNumberingAfterBreak="0">
    <w:nsid w:val="74C1613F"/>
    <w:multiLevelType w:val="hybridMultilevel"/>
    <w:tmpl w:val="E7DE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94748">
    <w:abstractNumId w:val="14"/>
  </w:num>
  <w:num w:numId="2" w16cid:durableId="2039429132">
    <w:abstractNumId w:val="5"/>
  </w:num>
  <w:num w:numId="3" w16cid:durableId="1596396283">
    <w:abstractNumId w:val="18"/>
  </w:num>
  <w:num w:numId="4" w16cid:durableId="80296195">
    <w:abstractNumId w:val="16"/>
  </w:num>
  <w:num w:numId="5" w16cid:durableId="617416160">
    <w:abstractNumId w:val="7"/>
  </w:num>
  <w:num w:numId="6" w16cid:durableId="165020449">
    <w:abstractNumId w:val="2"/>
  </w:num>
  <w:num w:numId="7" w16cid:durableId="13581930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7500384">
    <w:abstractNumId w:val="0"/>
  </w:num>
  <w:num w:numId="9" w16cid:durableId="246814911">
    <w:abstractNumId w:val="8"/>
  </w:num>
  <w:num w:numId="10" w16cid:durableId="1668898651">
    <w:abstractNumId w:val="9"/>
  </w:num>
  <w:num w:numId="11" w16cid:durableId="1047411420">
    <w:abstractNumId w:val="15"/>
  </w:num>
  <w:num w:numId="12" w16cid:durableId="305013994">
    <w:abstractNumId w:val="15"/>
  </w:num>
  <w:num w:numId="13" w16cid:durableId="1796945163">
    <w:abstractNumId w:val="13"/>
  </w:num>
  <w:num w:numId="14" w16cid:durableId="1984312593">
    <w:abstractNumId w:val="3"/>
  </w:num>
  <w:num w:numId="15" w16cid:durableId="773742329">
    <w:abstractNumId w:val="1"/>
  </w:num>
  <w:num w:numId="16" w16cid:durableId="596331111">
    <w:abstractNumId w:val="10"/>
  </w:num>
  <w:num w:numId="17" w16cid:durableId="216822872">
    <w:abstractNumId w:val="16"/>
  </w:num>
  <w:num w:numId="18" w16cid:durableId="1508133595">
    <w:abstractNumId w:val="14"/>
  </w:num>
  <w:num w:numId="19" w16cid:durableId="483591985">
    <w:abstractNumId w:val="11"/>
  </w:num>
  <w:num w:numId="20" w16cid:durableId="1380209336">
    <w:abstractNumId w:val="19"/>
  </w:num>
  <w:num w:numId="21" w16cid:durableId="1673751014">
    <w:abstractNumId w:val="12"/>
  </w:num>
  <w:num w:numId="22" w16cid:durableId="1932855682">
    <w:abstractNumId w:val="17"/>
  </w:num>
  <w:num w:numId="23" w16cid:durableId="245653525">
    <w:abstractNumId w:val="20"/>
  </w:num>
  <w:num w:numId="24" w16cid:durableId="21442098">
    <w:abstractNumId w:val="21"/>
  </w:num>
  <w:num w:numId="25" w16cid:durableId="1989629297">
    <w:abstractNumId w:val="6"/>
  </w:num>
  <w:num w:numId="26" w16cid:durableId="174256131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92"/>
    <w:rsid w:val="00002803"/>
    <w:rsid w:val="0001024B"/>
    <w:rsid w:val="000230A5"/>
    <w:rsid w:val="000371F1"/>
    <w:rsid w:val="00041759"/>
    <w:rsid w:val="00046D01"/>
    <w:rsid w:val="00052FE2"/>
    <w:rsid w:val="000713B1"/>
    <w:rsid w:val="000774DD"/>
    <w:rsid w:val="000A0FB0"/>
    <w:rsid w:val="000A2624"/>
    <w:rsid w:val="000B02F8"/>
    <w:rsid w:val="000D20CB"/>
    <w:rsid w:val="000D3854"/>
    <w:rsid w:val="000E2366"/>
    <w:rsid w:val="000E2789"/>
    <w:rsid w:val="000E6BB7"/>
    <w:rsid w:val="000F6B8B"/>
    <w:rsid w:val="0010050B"/>
    <w:rsid w:val="001010C7"/>
    <w:rsid w:val="001276BD"/>
    <w:rsid w:val="00141190"/>
    <w:rsid w:val="001455A2"/>
    <w:rsid w:val="00165872"/>
    <w:rsid w:val="00176186"/>
    <w:rsid w:val="0018002B"/>
    <w:rsid w:val="001B37E0"/>
    <w:rsid w:val="001D1133"/>
    <w:rsid w:val="001E3A13"/>
    <w:rsid w:val="001F0278"/>
    <w:rsid w:val="001F08AC"/>
    <w:rsid w:val="001F2D3A"/>
    <w:rsid w:val="00202265"/>
    <w:rsid w:val="00207D34"/>
    <w:rsid w:val="002111D3"/>
    <w:rsid w:val="002200A1"/>
    <w:rsid w:val="0022220E"/>
    <w:rsid w:val="0023227F"/>
    <w:rsid w:val="00243CE1"/>
    <w:rsid w:val="0025473E"/>
    <w:rsid w:val="00254E4D"/>
    <w:rsid w:val="002766F0"/>
    <w:rsid w:val="00283857"/>
    <w:rsid w:val="002857B1"/>
    <w:rsid w:val="002859F6"/>
    <w:rsid w:val="00286B50"/>
    <w:rsid w:val="002873C5"/>
    <w:rsid w:val="00294E91"/>
    <w:rsid w:val="00294F1F"/>
    <w:rsid w:val="002A5BA2"/>
    <w:rsid w:val="002A7CAD"/>
    <w:rsid w:val="002B38A5"/>
    <w:rsid w:val="002F6850"/>
    <w:rsid w:val="00304569"/>
    <w:rsid w:val="00317EEA"/>
    <w:rsid w:val="00325CB1"/>
    <w:rsid w:val="00331905"/>
    <w:rsid w:val="003549D3"/>
    <w:rsid w:val="00360ED9"/>
    <w:rsid w:val="00361471"/>
    <w:rsid w:val="00373FBC"/>
    <w:rsid w:val="00376BF3"/>
    <w:rsid w:val="00383ADA"/>
    <w:rsid w:val="00397B86"/>
    <w:rsid w:val="003A0DA5"/>
    <w:rsid w:val="003A3B36"/>
    <w:rsid w:val="003A7D25"/>
    <w:rsid w:val="003C6E64"/>
    <w:rsid w:val="003D0069"/>
    <w:rsid w:val="003D0CD1"/>
    <w:rsid w:val="003D4034"/>
    <w:rsid w:val="003E04A9"/>
    <w:rsid w:val="003F1CA8"/>
    <w:rsid w:val="003F4D31"/>
    <w:rsid w:val="00406873"/>
    <w:rsid w:val="00417276"/>
    <w:rsid w:val="00427F8A"/>
    <w:rsid w:val="0043138D"/>
    <w:rsid w:val="0044325C"/>
    <w:rsid w:val="00446532"/>
    <w:rsid w:val="00462EF0"/>
    <w:rsid w:val="004635AA"/>
    <w:rsid w:val="00471EA4"/>
    <w:rsid w:val="00476E46"/>
    <w:rsid w:val="00481653"/>
    <w:rsid w:val="004A7CC4"/>
    <w:rsid w:val="004B1958"/>
    <w:rsid w:val="004B5E2C"/>
    <w:rsid w:val="004B7801"/>
    <w:rsid w:val="004C114A"/>
    <w:rsid w:val="004F4891"/>
    <w:rsid w:val="005015E1"/>
    <w:rsid w:val="00504394"/>
    <w:rsid w:val="00511DAC"/>
    <w:rsid w:val="00515A23"/>
    <w:rsid w:val="00525783"/>
    <w:rsid w:val="0052721C"/>
    <w:rsid w:val="00542D36"/>
    <w:rsid w:val="00551AB7"/>
    <w:rsid w:val="00553839"/>
    <w:rsid w:val="00554611"/>
    <w:rsid w:val="00554E35"/>
    <w:rsid w:val="00557AFC"/>
    <w:rsid w:val="00571E12"/>
    <w:rsid w:val="005840AA"/>
    <w:rsid w:val="00584B29"/>
    <w:rsid w:val="00585714"/>
    <w:rsid w:val="005942AF"/>
    <w:rsid w:val="005A1013"/>
    <w:rsid w:val="005A675F"/>
    <w:rsid w:val="005B0278"/>
    <w:rsid w:val="005B0E62"/>
    <w:rsid w:val="005E761C"/>
    <w:rsid w:val="00606293"/>
    <w:rsid w:val="00640911"/>
    <w:rsid w:val="00642A24"/>
    <w:rsid w:val="00642D43"/>
    <w:rsid w:val="006618AE"/>
    <w:rsid w:val="00666EEC"/>
    <w:rsid w:val="00670E98"/>
    <w:rsid w:val="006747EB"/>
    <w:rsid w:val="006A01A9"/>
    <w:rsid w:val="006A3A08"/>
    <w:rsid w:val="006A46E2"/>
    <w:rsid w:val="006C3E00"/>
    <w:rsid w:val="006D67B8"/>
    <w:rsid w:val="006E00A2"/>
    <w:rsid w:val="006E03E2"/>
    <w:rsid w:val="006E28FA"/>
    <w:rsid w:val="006E5FA5"/>
    <w:rsid w:val="007261E1"/>
    <w:rsid w:val="00726CF1"/>
    <w:rsid w:val="0075588E"/>
    <w:rsid w:val="00785F92"/>
    <w:rsid w:val="00797566"/>
    <w:rsid w:val="007A4853"/>
    <w:rsid w:val="007B31FE"/>
    <w:rsid w:val="007F1973"/>
    <w:rsid w:val="008015BB"/>
    <w:rsid w:val="0080390F"/>
    <w:rsid w:val="00811EAB"/>
    <w:rsid w:val="00812991"/>
    <w:rsid w:val="008144A3"/>
    <w:rsid w:val="00817A76"/>
    <w:rsid w:val="00824D1D"/>
    <w:rsid w:val="00831655"/>
    <w:rsid w:val="008418DE"/>
    <w:rsid w:val="00847406"/>
    <w:rsid w:val="00851784"/>
    <w:rsid w:val="00854B5B"/>
    <w:rsid w:val="00857001"/>
    <w:rsid w:val="00871A1B"/>
    <w:rsid w:val="00873AD5"/>
    <w:rsid w:val="00875B0B"/>
    <w:rsid w:val="008A754D"/>
    <w:rsid w:val="008B643F"/>
    <w:rsid w:val="008C2C00"/>
    <w:rsid w:val="008C4F3B"/>
    <w:rsid w:val="008C737C"/>
    <w:rsid w:val="008D77F3"/>
    <w:rsid w:val="00916CDE"/>
    <w:rsid w:val="00925B3D"/>
    <w:rsid w:val="009278C1"/>
    <w:rsid w:val="00944378"/>
    <w:rsid w:val="00947CD6"/>
    <w:rsid w:val="00950205"/>
    <w:rsid w:val="009527C9"/>
    <w:rsid w:val="00955DF7"/>
    <w:rsid w:val="00960027"/>
    <w:rsid w:val="0096509B"/>
    <w:rsid w:val="00977CCD"/>
    <w:rsid w:val="00982C92"/>
    <w:rsid w:val="0098351C"/>
    <w:rsid w:val="009968FB"/>
    <w:rsid w:val="009C23F7"/>
    <w:rsid w:val="009E2799"/>
    <w:rsid w:val="009E4495"/>
    <w:rsid w:val="009F6165"/>
    <w:rsid w:val="00A01934"/>
    <w:rsid w:val="00A02F41"/>
    <w:rsid w:val="00A315A9"/>
    <w:rsid w:val="00A42E9B"/>
    <w:rsid w:val="00A50E7A"/>
    <w:rsid w:val="00A646E4"/>
    <w:rsid w:val="00A66939"/>
    <w:rsid w:val="00A777F1"/>
    <w:rsid w:val="00A91734"/>
    <w:rsid w:val="00A95E1E"/>
    <w:rsid w:val="00A95FF2"/>
    <w:rsid w:val="00AA3070"/>
    <w:rsid w:val="00AA4C56"/>
    <w:rsid w:val="00AA53E8"/>
    <w:rsid w:val="00AA632E"/>
    <w:rsid w:val="00AB695F"/>
    <w:rsid w:val="00AB71E9"/>
    <w:rsid w:val="00AC2FCC"/>
    <w:rsid w:val="00AD7636"/>
    <w:rsid w:val="00AE4D5F"/>
    <w:rsid w:val="00AE5E10"/>
    <w:rsid w:val="00AF4FB4"/>
    <w:rsid w:val="00B12446"/>
    <w:rsid w:val="00B22FE8"/>
    <w:rsid w:val="00B30160"/>
    <w:rsid w:val="00B65662"/>
    <w:rsid w:val="00B673FE"/>
    <w:rsid w:val="00B82FEE"/>
    <w:rsid w:val="00B8382B"/>
    <w:rsid w:val="00BA3A55"/>
    <w:rsid w:val="00BB0606"/>
    <w:rsid w:val="00BB12B8"/>
    <w:rsid w:val="00BB5F46"/>
    <w:rsid w:val="00BB6511"/>
    <w:rsid w:val="00BC0319"/>
    <w:rsid w:val="00BC6C4E"/>
    <w:rsid w:val="00BE7EA7"/>
    <w:rsid w:val="00C13782"/>
    <w:rsid w:val="00C21179"/>
    <w:rsid w:val="00C213B4"/>
    <w:rsid w:val="00C25E2B"/>
    <w:rsid w:val="00C30152"/>
    <w:rsid w:val="00C455AF"/>
    <w:rsid w:val="00C6177A"/>
    <w:rsid w:val="00C61C22"/>
    <w:rsid w:val="00C7077E"/>
    <w:rsid w:val="00C80827"/>
    <w:rsid w:val="00C82208"/>
    <w:rsid w:val="00C83C23"/>
    <w:rsid w:val="00C93769"/>
    <w:rsid w:val="00CA563E"/>
    <w:rsid w:val="00CB219E"/>
    <w:rsid w:val="00CB4912"/>
    <w:rsid w:val="00CE11B7"/>
    <w:rsid w:val="00CE1C2A"/>
    <w:rsid w:val="00CE4204"/>
    <w:rsid w:val="00D05735"/>
    <w:rsid w:val="00D07866"/>
    <w:rsid w:val="00D14409"/>
    <w:rsid w:val="00D1488D"/>
    <w:rsid w:val="00D25AEB"/>
    <w:rsid w:val="00D32793"/>
    <w:rsid w:val="00D32A2E"/>
    <w:rsid w:val="00D34853"/>
    <w:rsid w:val="00D406CB"/>
    <w:rsid w:val="00D430E2"/>
    <w:rsid w:val="00D55883"/>
    <w:rsid w:val="00D64A0E"/>
    <w:rsid w:val="00D7048E"/>
    <w:rsid w:val="00D75061"/>
    <w:rsid w:val="00D77C8B"/>
    <w:rsid w:val="00D84468"/>
    <w:rsid w:val="00D87BF7"/>
    <w:rsid w:val="00D932DB"/>
    <w:rsid w:val="00DA580B"/>
    <w:rsid w:val="00DA7467"/>
    <w:rsid w:val="00DD490F"/>
    <w:rsid w:val="00DE1719"/>
    <w:rsid w:val="00DF6CBC"/>
    <w:rsid w:val="00E14ABA"/>
    <w:rsid w:val="00E30D7A"/>
    <w:rsid w:val="00E34134"/>
    <w:rsid w:val="00E36118"/>
    <w:rsid w:val="00E376E1"/>
    <w:rsid w:val="00E42C59"/>
    <w:rsid w:val="00E43231"/>
    <w:rsid w:val="00E5129B"/>
    <w:rsid w:val="00E5321F"/>
    <w:rsid w:val="00E57461"/>
    <w:rsid w:val="00E72D86"/>
    <w:rsid w:val="00E7347D"/>
    <w:rsid w:val="00E7772A"/>
    <w:rsid w:val="00E77B57"/>
    <w:rsid w:val="00E837F0"/>
    <w:rsid w:val="00E96555"/>
    <w:rsid w:val="00EA10F7"/>
    <w:rsid w:val="00EA332A"/>
    <w:rsid w:val="00EB40B6"/>
    <w:rsid w:val="00EB5E58"/>
    <w:rsid w:val="00EC397C"/>
    <w:rsid w:val="00ED0002"/>
    <w:rsid w:val="00ED72E8"/>
    <w:rsid w:val="00EE6C6A"/>
    <w:rsid w:val="00EF5F6B"/>
    <w:rsid w:val="00EF7098"/>
    <w:rsid w:val="00F14715"/>
    <w:rsid w:val="00F20DA0"/>
    <w:rsid w:val="00F22D69"/>
    <w:rsid w:val="00F30187"/>
    <w:rsid w:val="00F308D9"/>
    <w:rsid w:val="00F321DC"/>
    <w:rsid w:val="00F33D50"/>
    <w:rsid w:val="00F57446"/>
    <w:rsid w:val="00F57618"/>
    <w:rsid w:val="00F63C58"/>
    <w:rsid w:val="00F86362"/>
    <w:rsid w:val="00F97903"/>
    <w:rsid w:val="00FA7E0E"/>
    <w:rsid w:val="00FB18EF"/>
    <w:rsid w:val="00FB5F58"/>
    <w:rsid w:val="00FB79CD"/>
    <w:rsid w:val="00FD1375"/>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2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4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4B5E2C"/>
    <w:rPr>
      <w:rFonts w:ascii="Times New Roman" w:eastAsia="Times New Roman" w:hAnsi="Times New Roman"/>
      <w:sz w:val="24"/>
      <w:szCs w:val="24"/>
      <w:lang w:eastAsia="en-US"/>
    </w:rPr>
  </w:style>
  <w:style w:type="paragraph" w:styleId="Heading1">
    <w:name w:val="heading 1"/>
    <w:next w:val="NormalParagraph"/>
    <w:link w:val="Heading1Char"/>
    <w:uiPriority w:val="1"/>
    <w:qFormat/>
    <w:rsid w:val="000F6B8B"/>
    <w:pPr>
      <w:keepNext/>
      <w:keepLines/>
      <w:numPr>
        <w:numId w:val="2"/>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2"/>
      </w:numPr>
      <w:spacing w:before="120" w:after="140" w:line="260" w:lineRule="atLeast"/>
      <w:outlineLvl w:val="6"/>
    </w:pPr>
    <w:rPr>
      <w:rFonts w:ascii="Arial" w:hAnsi="Arial"/>
      <w:i/>
      <w:sz w:val="22"/>
      <w:szCs w:val="20"/>
      <w:lang w:bidi="bn-BD"/>
    </w:rPr>
  </w:style>
  <w:style w:type="paragraph" w:styleId="Heading8">
    <w:name w:val="heading 8"/>
    <w:basedOn w:val="Normal"/>
    <w:next w:val="Normal"/>
    <w:link w:val="Heading8Char"/>
    <w:uiPriority w:val="1"/>
    <w:qFormat/>
    <w:rsid w:val="00944378"/>
    <w:pPr>
      <w:keepNext/>
      <w:keepLines/>
      <w:numPr>
        <w:ilvl w:val="7"/>
        <w:numId w:val="2"/>
      </w:numPr>
      <w:spacing w:before="120" w:after="140" w:line="260" w:lineRule="atLeast"/>
      <w:outlineLvl w:val="7"/>
    </w:pPr>
    <w:rPr>
      <w:rFonts w:ascii="Arial" w:hAnsi="Arial"/>
      <w:i/>
      <w:iCs/>
      <w:sz w:val="22"/>
      <w:szCs w:val="20"/>
      <w:lang w:val="en-US" w:bidi="bn-BD"/>
    </w:rPr>
  </w:style>
  <w:style w:type="paragraph" w:styleId="Heading9">
    <w:name w:val="heading 9"/>
    <w:basedOn w:val="Normal"/>
    <w:next w:val="Normal"/>
    <w:link w:val="Heading9Char"/>
    <w:uiPriority w:val="1"/>
    <w:qFormat/>
    <w:rsid w:val="00944378"/>
    <w:pPr>
      <w:numPr>
        <w:ilvl w:val="8"/>
        <w:numId w:val="2"/>
      </w:numPr>
      <w:spacing w:before="140" w:after="120" w:line="260" w:lineRule="atLeast"/>
      <w:outlineLvl w:val="8"/>
    </w:pPr>
    <w:rPr>
      <w:rFonts w:ascii="Arial" w:hAnsi="Arial" w:cs="Arial"/>
      <w:i/>
      <w:sz w:val="22"/>
      <w:szCs w:val="22"/>
      <w:lang w:val="fr-FR"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before="120" w:after="60"/>
      <w:jc w:val="right"/>
    </w:pPr>
    <w:rPr>
      <w:rFonts w:ascii="Arial" w:eastAsia="SimSun" w:hAnsi="Arial"/>
      <w:b/>
      <w:bCs/>
      <w:kern w:val="28"/>
      <w:sz w:val="32"/>
      <w:szCs w:val="32"/>
      <w:lang w:eastAsia="zh-CN" w:bidi="bn-BD"/>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5"/>
      </w:numPr>
      <w:tabs>
        <w:tab w:val="left" w:pos="680"/>
      </w:tabs>
      <w:ind w:left="9770"/>
      <w:contextualSpacing/>
    </w:pPr>
  </w:style>
  <w:style w:type="paragraph" w:styleId="ListBullet2">
    <w:name w:val="List Bullet 2"/>
    <w:basedOn w:val="ListBullet1"/>
    <w:uiPriority w:val="2"/>
    <w:qFormat/>
    <w:rsid w:val="003D0069"/>
    <w:pPr>
      <w:numPr>
        <w:ilvl w:val="1"/>
      </w:numPr>
      <w:tabs>
        <w:tab w:val="clear" w:pos="680"/>
        <w:tab w:val="left" w:pos="1021"/>
      </w:tabs>
      <w:ind w:left="10110"/>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8"/>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6"/>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ind w:left="10450"/>
    </w:pPr>
  </w:style>
  <w:style w:type="paragraph" w:styleId="BalloonText">
    <w:name w:val="Balloon Text"/>
    <w:basedOn w:val="Normal"/>
    <w:link w:val="BalloonTextChar"/>
    <w:uiPriority w:val="99"/>
    <w:semiHidden/>
    <w:unhideWhenUsed/>
    <w:rsid w:val="005A1013"/>
    <w:pPr>
      <w:jc w:val="both"/>
    </w:pPr>
    <w:rPr>
      <w:rFonts w:ascii="Tahoma" w:eastAsia="SimSun" w:hAnsi="Tahoma" w:cs="Tahoma"/>
      <w:sz w:val="16"/>
      <w:szCs w:val="20"/>
      <w:lang w:eastAsia="zh-CN" w:bidi="bn-BD"/>
    </w:rPr>
  </w:style>
  <w:style w:type="paragraph" w:styleId="ListNumber">
    <w:name w:val="List Number"/>
    <w:basedOn w:val="Normal"/>
    <w:uiPriority w:val="6"/>
    <w:qFormat/>
    <w:rsid w:val="003D0069"/>
    <w:pPr>
      <w:numPr>
        <w:numId w:val="16"/>
      </w:numPr>
      <w:spacing w:after="200" w:line="276" w:lineRule="auto"/>
      <w:contextualSpacing/>
      <w:jc w:val="both"/>
    </w:pPr>
    <w:rPr>
      <w:rFonts w:ascii="Arial" w:eastAsia="SimSun" w:hAnsi="Arial"/>
      <w:sz w:val="22"/>
      <w:szCs w:val="20"/>
      <w:lang w:eastAsia="zh-CN" w:bidi="bn-BD"/>
    </w:rPr>
  </w:style>
  <w:style w:type="paragraph" w:customStyle="1" w:styleId="Figurecaption">
    <w:name w:val="Figure caption"/>
    <w:basedOn w:val="NormalParagraph"/>
    <w:uiPriority w:val="12"/>
    <w:qFormat/>
    <w:rsid w:val="00C25E2B"/>
    <w:pPr>
      <w:numPr>
        <w:numId w:val="17"/>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6"/>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6"/>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3"/>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12"/>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9"/>
      </w:numPr>
    </w:pPr>
  </w:style>
  <w:style w:type="numbering" w:customStyle="1" w:styleId="ListBullets">
    <w:name w:val="ListBullets"/>
    <w:uiPriority w:val="99"/>
    <w:rsid w:val="003D0069"/>
    <w:pPr>
      <w:numPr>
        <w:numId w:val="13"/>
      </w:numPr>
    </w:pPr>
  </w:style>
  <w:style w:type="paragraph" w:customStyle="1" w:styleId="TableBulletText">
    <w:name w:val="Table Bullet Text"/>
    <w:basedOn w:val="TableText"/>
    <w:link w:val="TableBulletTextChar"/>
    <w:uiPriority w:val="21"/>
    <w:qFormat/>
    <w:rsid w:val="00361471"/>
    <w:pPr>
      <w:numPr>
        <w:numId w:val="10"/>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uiPriority w:val="99"/>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4"/>
      </w:numPr>
    </w:pPr>
  </w:style>
  <w:style w:type="paragraph" w:styleId="FootnoteText">
    <w:name w:val="footnote text"/>
    <w:basedOn w:val="NormalParagraph"/>
    <w:link w:val="FootnoteTextChar"/>
    <w:uiPriority w:val="99"/>
    <w:qFormat/>
    <w:rsid w:val="009527C9"/>
    <w:pPr>
      <w:spacing w:after="120"/>
    </w:pPr>
    <w:rPr>
      <w:sz w:val="20"/>
      <w:szCs w:val="25"/>
    </w:rPr>
  </w:style>
  <w:style w:type="character" w:customStyle="1" w:styleId="FootnoteTextChar">
    <w:name w:val="Footnote Text Char"/>
    <w:link w:val="FootnoteText"/>
    <w:uiPriority w:val="99"/>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8"/>
      </w:numPr>
      <w:spacing w:before="120"/>
      <w:contextualSpacing/>
      <w:jc w:val="both"/>
    </w:pPr>
    <w:rPr>
      <w:rFonts w:ascii="Arial" w:eastAsia="SimSun" w:hAnsi="Arial"/>
      <w:sz w:val="22"/>
      <w:szCs w:val="20"/>
      <w:lang w:eastAsia="zh-CN" w:bidi="bn-BD"/>
    </w:r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spacing w:before="120"/>
      <w:ind w:left="1760"/>
      <w:jc w:val="both"/>
    </w:pPr>
    <w:rPr>
      <w:rFonts w:ascii="Arial" w:eastAsia="SimSun" w:hAnsi="Arial"/>
      <w:sz w:val="22"/>
      <w:szCs w:val="20"/>
      <w:lang w:eastAsia="zh-CN" w:bidi="bn-BD"/>
    </w:rPr>
  </w:style>
  <w:style w:type="paragraph" w:customStyle="1" w:styleId="CRSheetSubtitle">
    <w:name w:val="CRSheet Subtitle"/>
    <w:basedOn w:val="Normal"/>
    <w:qFormat/>
    <w:rsid w:val="000371F1"/>
    <w:pPr>
      <w:framePr w:hSpace="180" w:wrap="around" w:hAnchor="margin" w:xAlign="center" w:y="-756"/>
      <w:spacing w:before="60" w:after="60"/>
    </w:pPr>
    <w:rPr>
      <w:rFonts w:ascii="Arial" w:eastAsia="SimSun" w:hAnsi="Arial" w:cs="Arial"/>
      <w:b/>
      <w:i/>
      <w:sz w:val="22"/>
      <w:szCs w:val="22"/>
      <w:lang w:eastAsia="en-GB"/>
    </w:rPr>
  </w:style>
  <w:style w:type="character" w:styleId="PlaceholderText">
    <w:name w:val="Placeholder Text"/>
    <w:basedOn w:val="DefaultParagraphFont"/>
    <w:uiPriority w:val="99"/>
    <w:semiHidden/>
    <w:rsid w:val="00AA632E"/>
    <w:rPr>
      <w:color w:val="808080"/>
    </w:rPr>
  </w:style>
  <w:style w:type="character" w:styleId="FollowedHyperlink">
    <w:name w:val="FollowedHyperlink"/>
    <w:basedOn w:val="DefaultParagraphFont"/>
    <w:uiPriority w:val="99"/>
    <w:semiHidden/>
    <w:unhideWhenUsed/>
    <w:rsid w:val="00EB40B6"/>
    <w:rPr>
      <w:color w:val="800080" w:themeColor="followedHyperlink"/>
      <w:u w:val="single"/>
    </w:rPr>
  </w:style>
  <w:style w:type="paragraph" w:customStyle="1" w:styleId="CRSheetTitle">
    <w:name w:val="CRSheet Title"/>
    <w:next w:val="NormalParagraph"/>
    <w:qFormat/>
    <w:rsid w:val="008A754D"/>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557AFC"/>
    <w:rPr>
      <w:sz w:val="24"/>
    </w:rPr>
  </w:style>
  <w:style w:type="paragraph" w:customStyle="1" w:styleId="TableTextBold">
    <w:name w:val="Table Text Bold"/>
    <w:basedOn w:val="TableText"/>
    <w:uiPriority w:val="49"/>
    <w:qFormat/>
    <w:rsid w:val="00557AFC"/>
    <w:pPr>
      <w:spacing w:before="0" w:after="0" w:line="240" w:lineRule="auto"/>
    </w:pPr>
    <w:rPr>
      <w:b/>
    </w:rPr>
  </w:style>
  <w:style w:type="paragraph" w:customStyle="1" w:styleId="TableHeaderLarge">
    <w:name w:val="Table Header Large"/>
    <w:basedOn w:val="TableHeader"/>
    <w:uiPriority w:val="49"/>
    <w:qFormat/>
    <w:rsid w:val="00557AFC"/>
    <w:rPr>
      <w:sz w:val="24"/>
    </w:rPr>
  </w:style>
  <w:style w:type="character" w:customStyle="1" w:styleId="UnresolvedMention1">
    <w:name w:val="Unresolved Mention1"/>
    <w:basedOn w:val="DefaultParagraphFont"/>
    <w:uiPriority w:val="99"/>
    <w:semiHidden/>
    <w:unhideWhenUsed/>
    <w:rsid w:val="00D32A2E"/>
    <w:rPr>
      <w:color w:val="605E5C"/>
      <w:shd w:val="clear" w:color="auto" w:fill="E1DFDD"/>
    </w:rPr>
  </w:style>
  <w:style w:type="paragraph" w:customStyle="1" w:styleId="Legalclauselevel1">
    <w:name w:val="Legal clause level 1"/>
    <w:uiPriority w:val="30"/>
    <w:qFormat/>
    <w:rsid w:val="00D32A2E"/>
    <w:pPr>
      <w:numPr>
        <w:numId w:val="19"/>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32A2E"/>
    <w:pPr>
      <w:numPr>
        <w:ilvl w:val="1"/>
      </w:numPr>
      <w:outlineLvl w:val="9"/>
    </w:pPr>
    <w:rPr>
      <w:b w:val="0"/>
      <w:sz w:val="22"/>
      <w:szCs w:val="22"/>
    </w:rPr>
  </w:style>
  <w:style w:type="paragraph" w:customStyle="1" w:styleId="Legalclauselevel3">
    <w:name w:val="Legal clause level 3"/>
    <w:basedOn w:val="Legalclauselevel2"/>
    <w:uiPriority w:val="30"/>
    <w:qFormat/>
    <w:rsid w:val="00D32A2E"/>
    <w:pPr>
      <w:numPr>
        <w:ilvl w:val="2"/>
      </w:numPr>
      <w:spacing w:line="276" w:lineRule="auto"/>
    </w:pPr>
    <w:rPr>
      <w:iCs/>
    </w:rPr>
  </w:style>
  <w:style w:type="paragraph" w:customStyle="1" w:styleId="Legalclauselevel4">
    <w:name w:val="Legal clause level 4"/>
    <w:basedOn w:val="Legalclauselevel3"/>
    <w:uiPriority w:val="30"/>
    <w:qFormat/>
    <w:rsid w:val="00D32A2E"/>
    <w:pPr>
      <w:numPr>
        <w:ilvl w:val="3"/>
      </w:numPr>
      <w:spacing w:after="120"/>
      <w:ind w:left="3118" w:hanging="992"/>
    </w:pPr>
  </w:style>
  <w:style w:type="paragraph" w:customStyle="1" w:styleId="TitleCentred">
    <w:name w:val="Title Centred"/>
    <w:basedOn w:val="Title"/>
    <w:next w:val="NormalParagraph"/>
    <w:uiPriority w:val="27"/>
    <w:qFormat/>
    <w:rsid w:val="00D32A2E"/>
    <w:pPr>
      <w:spacing w:before="240" w:after="240"/>
      <w:jc w:val="center"/>
      <w:outlineLvl w:val="0"/>
    </w:pPr>
  </w:style>
  <w:style w:type="numbering" w:customStyle="1" w:styleId="LegalList">
    <w:name w:val="LegalList"/>
    <w:uiPriority w:val="99"/>
    <w:rsid w:val="00D32A2E"/>
    <w:pPr>
      <w:numPr>
        <w:numId w:val="5"/>
      </w:numPr>
    </w:pPr>
  </w:style>
  <w:style w:type="paragraph" w:customStyle="1" w:styleId="Legaldefinition">
    <w:name w:val="Legal definition"/>
    <w:basedOn w:val="NOTE"/>
    <w:uiPriority w:val="31"/>
    <w:qFormat/>
    <w:rsid w:val="00D32A2E"/>
    <w:pPr>
      <w:tabs>
        <w:tab w:val="clear" w:pos="1560"/>
        <w:tab w:val="left" w:pos="2835"/>
      </w:tabs>
      <w:ind w:left="2835" w:hanging="2268"/>
    </w:pPr>
  </w:style>
  <w:style w:type="paragraph" w:styleId="TOC7">
    <w:name w:val="toc 7"/>
    <w:basedOn w:val="Normal"/>
    <w:next w:val="Normal"/>
    <w:autoRedefine/>
    <w:uiPriority w:val="39"/>
    <w:unhideWhenUsed/>
    <w:rsid w:val="00D32A2E"/>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D32A2E"/>
    <w:pPr>
      <w:spacing w:after="100" w:line="259" w:lineRule="auto"/>
      <w:ind w:left="1540"/>
    </w:pPr>
    <w:rPr>
      <w:rFonts w:asciiTheme="minorHAnsi" w:eastAsiaTheme="minorEastAsia" w:hAnsiTheme="minorHAnsi" w:cstheme="minorBidi"/>
      <w:sz w:val="22"/>
      <w:szCs w:val="22"/>
      <w:lang w:eastAsia="en-GB"/>
    </w:rPr>
  </w:style>
  <w:style w:type="table" w:styleId="TableGrid">
    <w:name w:val="Table Grid"/>
    <w:basedOn w:val="TableNormal"/>
    <w:uiPriority w:val="59"/>
    <w:rsid w:val="00D32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2A2E"/>
    <w:pPr>
      <w:spacing w:before="200"/>
    </w:pPr>
    <w:rPr>
      <w:rFonts w:eastAsia="Malgun Gothic"/>
      <w:sz w:val="22"/>
      <w:szCs w:val="22"/>
      <w:lang w:eastAsia="en-US"/>
    </w:rPr>
  </w:style>
  <w:style w:type="table" w:customStyle="1" w:styleId="Table2Style">
    <w:name w:val="Table 2 Style"/>
    <w:basedOn w:val="TableNormal"/>
    <w:rsid w:val="00D32A2E"/>
    <w:pPr>
      <w:spacing w:before="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i w:val="0"/>
        <w:color w:val="FFFFFF"/>
        <w:sz w:val="22"/>
      </w:rPr>
      <w:tblPr/>
      <w:tcPr>
        <w:shd w:val="clear" w:color="auto" w:fill="C00000"/>
      </w:tcPr>
    </w:tblStylePr>
  </w:style>
  <w:style w:type="paragraph" w:styleId="NormalWeb">
    <w:name w:val="Normal (Web)"/>
    <w:basedOn w:val="Normal"/>
    <w:uiPriority w:val="99"/>
    <w:semiHidden/>
    <w:unhideWhenUsed/>
    <w:rsid w:val="00D32A2E"/>
    <w:pPr>
      <w:spacing w:before="100" w:beforeAutospacing="1" w:after="100" w:afterAutospacing="1"/>
    </w:pPr>
    <w:rPr>
      <w:rFonts w:eastAsiaTheme="minorEastAsia"/>
      <w:lang w:eastAsia="en-GB"/>
    </w:rPr>
  </w:style>
  <w:style w:type="paragraph" w:styleId="Caption">
    <w:name w:val="caption"/>
    <w:basedOn w:val="Normal"/>
    <w:next w:val="Normal"/>
    <w:uiPriority w:val="35"/>
    <w:unhideWhenUsed/>
    <w:qFormat/>
    <w:rsid w:val="00D32A2E"/>
    <w:pPr>
      <w:spacing w:before="120" w:after="60"/>
      <w:jc w:val="center"/>
    </w:pPr>
    <w:rPr>
      <w:rFonts w:ascii="Arial" w:eastAsia="SimSun" w:hAnsi="Arial" w:cs="Arial"/>
      <w:b/>
      <w:iCs/>
      <w:sz w:val="21"/>
      <w:szCs w:val="22"/>
      <w:lang w:eastAsia="zh-CN" w:bidi="bn-BD"/>
    </w:rPr>
  </w:style>
  <w:style w:type="paragraph" w:styleId="TableofFigures">
    <w:name w:val="table of figures"/>
    <w:basedOn w:val="Normal"/>
    <w:next w:val="Normal"/>
    <w:uiPriority w:val="99"/>
    <w:unhideWhenUsed/>
    <w:rsid w:val="00D32A2E"/>
    <w:pPr>
      <w:ind w:left="440" w:hanging="440"/>
    </w:pPr>
    <w:rPr>
      <w:rFonts w:asciiTheme="minorHAnsi" w:eastAsia="SimSun" w:hAnsiTheme="minorHAnsi"/>
      <w:smallCaps/>
      <w:sz w:val="20"/>
      <w:szCs w:val="20"/>
      <w:lang w:eastAsia="zh-CN" w:bidi="bn-BD"/>
    </w:rPr>
  </w:style>
  <w:style w:type="paragraph" w:customStyle="1" w:styleId="Default">
    <w:name w:val="Default"/>
    <w:rsid w:val="00D32A2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unhideWhenUsed/>
    <w:rsid w:val="00D32A2E"/>
    <w:rPr>
      <w:szCs w:val="30"/>
    </w:rPr>
  </w:style>
  <w:style w:type="character" w:customStyle="1" w:styleId="DocumentMapChar">
    <w:name w:val="Document Map Char"/>
    <w:basedOn w:val="DefaultParagraphFont"/>
    <w:link w:val="DocumentMap"/>
    <w:uiPriority w:val="99"/>
    <w:semiHidden/>
    <w:rsid w:val="00D32A2E"/>
    <w:rPr>
      <w:rFonts w:ascii="Times New Roman" w:eastAsia="SimSun" w:hAnsi="Times New Roman"/>
      <w:sz w:val="24"/>
      <w:szCs w:val="30"/>
      <w:lang w:eastAsia="zh-CN" w:bidi="bn-BD"/>
    </w:rPr>
  </w:style>
  <w:style w:type="character" w:styleId="CommentReference">
    <w:name w:val="annotation reference"/>
    <w:basedOn w:val="DefaultParagraphFont"/>
    <w:uiPriority w:val="99"/>
    <w:semiHidden/>
    <w:unhideWhenUsed/>
    <w:rsid w:val="00D32A2E"/>
    <w:rPr>
      <w:sz w:val="18"/>
      <w:szCs w:val="18"/>
    </w:rPr>
  </w:style>
  <w:style w:type="paragraph" w:styleId="CommentText">
    <w:name w:val="annotation text"/>
    <w:basedOn w:val="Normal"/>
    <w:link w:val="CommentTextChar"/>
    <w:uiPriority w:val="99"/>
    <w:unhideWhenUsed/>
    <w:rsid w:val="00D32A2E"/>
    <w:pPr>
      <w:spacing w:before="120"/>
      <w:jc w:val="both"/>
    </w:pPr>
    <w:rPr>
      <w:rFonts w:ascii="Arial" w:eastAsia="SimSun" w:hAnsi="Arial"/>
      <w:szCs w:val="30"/>
      <w:lang w:eastAsia="zh-CN" w:bidi="bn-BD"/>
    </w:rPr>
  </w:style>
  <w:style w:type="character" w:customStyle="1" w:styleId="CommentTextChar">
    <w:name w:val="Comment Text Char"/>
    <w:basedOn w:val="DefaultParagraphFont"/>
    <w:link w:val="CommentText"/>
    <w:uiPriority w:val="99"/>
    <w:rsid w:val="00D32A2E"/>
    <w:rPr>
      <w:rFonts w:ascii="Arial" w:eastAsia="SimSun" w:hAnsi="Arial"/>
      <w:sz w:val="24"/>
      <w:szCs w:val="30"/>
      <w:lang w:eastAsia="zh-CN" w:bidi="bn-BD"/>
    </w:rPr>
  </w:style>
  <w:style w:type="paragraph" w:styleId="CommentSubject">
    <w:name w:val="annotation subject"/>
    <w:basedOn w:val="CommentText"/>
    <w:next w:val="CommentText"/>
    <w:link w:val="CommentSubjectChar"/>
    <w:uiPriority w:val="99"/>
    <w:semiHidden/>
    <w:unhideWhenUsed/>
    <w:rsid w:val="00D32A2E"/>
    <w:rPr>
      <w:b/>
      <w:bCs/>
      <w:sz w:val="20"/>
      <w:szCs w:val="25"/>
    </w:rPr>
  </w:style>
  <w:style w:type="character" w:customStyle="1" w:styleId="CommentSubjectChar">
    <w:name w:val="Comment Subject Char"/>
    <w:basedOn w:val="CommentTextChar"/>
    <w:link w:val="CommentSubject"/>
    <w:uiPriority w:val="99"/>
    <w:semiHidden/>
    <w:rsid w:val="00D32A2E"/>
    <w:rPr>
      <w:rFonts w:ascii="Arial" w:eastAsia="SimSun" w:hAnsi="Arial"/>
      <w:b/>
      <w:bCs/>
      <w:sz w:val="24"/>
      <w:szCs w:val="25"/>
      <w:lang w:eastAsia="zh-CN" w:bidi="bn-BD"/>
    </w:rPr>
  </w:style>
  <w:style w:type="character" w:customStyle="1" w:styleId="apple-converted-space">
    <w:name w:val="apple-converted-space"/>
    <w:basedOn w:val="DefaultParagraphFont"/>
    <w:rsid w:val="00D32A2E"/>
  </w:style>
  <w:style w:type="character" w:customStyle="1" w:styleId="ListParagraphChar">
    <w:name w:val="List Paragraph Char"/>
    <w:basedOn w:val="DefaultParagraphFont"/>
    <w:link w:val="ListParagraph"/>
    <w:uiPriority w:val="34"/>
    <w:rsid w:val="00D32A2E"/>
    <w:rPr>
      <w:rFonts w:ascii="Arial" w:eastAsia="SimSun" w:hAnsi="Arial"/>
      <w:sz w:val="22"/>
      <w:lang w:eastAsia="zh-CN" w:bidi="bn-BD"/>
    </w:rPr>
  </w:style>
  <w:style w:type="paragraph" w:styleId="List2">
    <w:name w:val="List 2"/>
    <w:basedOn w:val="List"/>
    <w:autoRedefine/>
    <w:uiPriority w:val="99"/>
    <w:semiHidden/>
    <w:rsid w:val="00D32A2E"/>
    <w:pPr>
      <w:numPr>
        <w:numId w:val="20"/>
      </w:numPr>
      <w:tabs>
        <w:tab w:val="num" w:pos="431"/>
      </w:tabs>
      <w:spacing w:before="200"/>
      <w:ind w:left="431" w:hanging="431"/>
      <w:contextualSpacing w:val="0"/>
    </w:pPr>
    <w:rPr>
      <w:rFonts w:asciiTheme="minorHAnsi" w:hAnsiTheme="minorHAnsi" w:cstheme="minorHAnsi"/>
      <w:szCs w:val="22"/>
    </w:rPr>
  </w:style>
  <w:style w:type="paragraph" w:styleId="List">
    <w:name w:val="List"/>
    <w:basedOn w:val="Normal"/>
    <w:uiPriority w:val="99"/>
    <w:semiHidden/>
    <w:unhideWhenUsed/>
    <w:rsid w:val="00D32A2E"/>
    <w:pPr>
      <w:spacing w:before="120"/>
      <w:ind w:left="283" w:hanging="283"/>
      <w:contextualSpacing/>
      <w:jc w:val="both"/>
    </w:pPr>
    <w:rPr>
      <w:rFonts w:ascii="Arial" w:eastAsia="SimSun" w:hAnsi="Arial"/>
      <w:sz w:val="22"/>
      <w:szCs w:val="20"/>
      <w:lang w:eastAsia="zh-CN" w:bidi="bn-BD"/>
    </w:rPr>
  </w:style>
  <w:style w:type="paragraph" w:customStyle="1" w:styleId="Code">
    <w:name w:val="Code"/>
    <w:basedOn w:val="HTMLPreformatted"/>
    <w:link w:val="CodeChar"/>
    <w:qFormat/>
    <w:rsid w:val="00D32A2E"/>
    <w:pPr>
      <w:pBdr>
        <w:top w:val="single" w:sz="4" w:space="1" w:color="auto"/>
        <w:left w:val="single" w:sz="4" w:space="4" w:color="auto"/>
        <w:bottom w:val="single" w:sz="4" w:space="1" w:color="auto"/>
        <w:right w:val="single" w:sz="4" w:space="4" w:color="auto"/>
      </w:pBdr>
      <w:shd w:val="pct10"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left"/>
    </w:pPr>
    <w:rPr>
      <w:rFonts w:ascii="Courier New" w:eastAsia="Times New Roman" w:hAnsi="Courier New" w:cs="Courier New"/>
      <w:color w:val="333333"/>
      <w:szCs w:val="25"/>
    </w:rPr>
  </w:style>
  <w:style w:type="character" w:customStyle="1" w:styleId="CodeChar">
    <w:name w:val="Code Char"/>
    <w:basedOn w:val="HTMLPreformattedChar"/>
    <w:link w:val="Code"/>
    <w:rsid w:val="00D32A2E"/>
    <w:rPr>
      <w:rFonts w:ascii="Courier New" w:eastAsia="Times New Roman" w:hAnsi="Courier New" w:cs="Courier New"/>
      <w:color w:val="333333"/>
      <w:shd w:val="pct10" w:color="auto" w:fill="FFFFFF"/>
      <w:lang w:eastAsia="zh-CN" w:bidi="bn-BD"/>
    </w:rPr>
  </w:style>
  <w:style w:type="paragraph" w:styleId="HTMLPreformatted">
    <w:name w:val="HTML Preformatted"/>
    <w:basedOn w:val="Normal"/>
    <w:link w:val="HTMLPreformattedChar"/>
    <w:uiPriority w:val="99"/>
    <w:unhideWhenUsed/>
    <w:rsid w:val="00D32A2E"/>
    <w:pPr>
      <w:jc w:val="both"/>
    </w:pPr>
    <w:rPr>
      <w:rFonts w:ascii="Courier" w:eastAsia="SimSun" w:hAnsi="Courier"/>
      <w:sz w:val="20"/>
      <w:szCs w:val="20"/>
      <w:lang w:eastAsia="zh-CN" w:bidi="bn-BD"/>
    </w:rPr>
  </w:style>
  <w:style w:type="character" w:customStyle="1" w:styleId="HTMLPreformattedChar">
    <w:name w:val="HTML Preformatted Char"/>
    <w:basedOn w:val="DefaultParagraphFont"/>
    <w:link w:val="HTMLPreformatted"/>
    <w:uiPriority w:val="99"/>
    <w:rsid w:val="00D32A2E"/>
    <w:rPr>
      <w:rFonts w:ascii="Courier" w:eastAsia="SimSun" w:hAnsi="Courier"/>
      <w:lang w:eastAsia="zh-CN" w:bidi="bn-BD"/>
    </w:rPr>
  </w:style>
  <w:style w:type="paragraph" w:styleId="Revision">
    <w:name w:val="Revision"/>
    <w:hidden/>
    <w:uiPriority w:val="99"/>
    <w:semiHidden/>
    <w:rsid w:val="00D32A2E"/>
    <w:rPr>
      <w:rFonts w:ascii="Arial" w:eastAsia="SimSun" w:hAnsi="Arial"/>
      <w:sz w:val="22"/>
      <w:lang w:eastAsia="zh-CN" w:bidi="bn-BD"/>
    </w:rPr>
  </w:style>
  <w:style w:type="character" w:styleId="IntenseEmphasis">
    <w:name w:val="Intense Emphasis"/>
    <w:uiPriority w:val="21"/>
    <w:qFormat/>
    <w:rsid w:val="00D32A2E"/>
    <w:rPr>
      <w:b/>
      <w:bCs/>
      <w:i/>
      <w:iCs/>
      <w:color w:val="4F81BD"/>
    </w:rPr>
  </w:style>
  <w:style w:type="character" w:customStyle="1" w:styleId="UnresolvedMention10">
    <w:name w:val="Unresolved Mention1"/>
    <w:basedOn w:val="DefaultParagraphFont"/>
    <w:uiPriority w:val="99"/>
    <w:semiHidden/>
    <w:unhideWhenUsed/>
    <w:rsid w:val="00D32A2E"/>
    <w:rPr>
      <w:color w:val="605E5C"/>
      <w:shd w:val="clear" w:color="auto" w:fill="E1DFDD"/>
    </w:rPr>
  </w:style>
  <w:style w:type="table" w:styleId="GridTable4-Accent2">
    <w:name w:val="Grid Table 4 Accent 2"/>
    <w:basedOn w:val="TableNormal"/>
    <w:uiPriority w:val="49"/>
    <w:rsid w:val="00D32A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AA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570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id.net/specs/openid-connect-core-1_0.html" TargetMode="External"/><Relationship Id="rId18" Type="http://schemas.openxmlformats.org/officeDocument/2006/relationships/hyperlink" Target="mailto:prd@gsma.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Yolanda"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ools.ietf.org/html/rfc2119"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penid.net/specs/openid-connect-modrna-client-initiated-backchannel-authentication-1_0.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1D4C92EF14961AE4451FCF6270168"/>
        <w:category>
          <w:name w:val="General"/>
          <w:gallery w:val="placeholder"/>
        </w:category>
        <w:types>
          <w:type w:val="bbPlcHdr"/>
        </w:types>
        <w:behaviors>
          <w:behavior w:val="content"/>
        </w:behaviors>
        <w:guid w:val="{DD068FD1-1864-4AD5-A664-BB6D18C26D8B}"/>
      </w:docPartPr>
      <w:docPartBody>
        <w:p w:rsidR="00181056" w:rsidRDefault="00465352" w:rsidP="00465352">
          <w:pPr>
            <w:pStyle w:val="4C81D4C92EF14961AE4451FCF6270168"/>
          </w:pPr>
          <w:r w:rsidRPr="00846DF8">
            <w:rPr>
              <w:rStyle w:val="PlaceholderText"/>
            </w:rPr>
            <w:t>[Document Title]</w:t>
          </w:r>
        </w:p>
      </w:docPartBody>
    </w:docPart>
    <w:docPart>
      <w:docPartPr>
        <w:name w:val="57CF927A09D548BDB1345CBADA0B8FC8"/>
        <w:category>
          <w:name w:val="General"/>
          <w:gallery w:val="placeholder"/>
        </w:category>
        <w:types>
          <w:type w:val="bbPlcHdr"/>
        </w:types>
        <w:behaviors>
          <w:behavior w:val="content"/>
        </w:behaviors>
        <w:guid w:val="{22A4B1B4-8880-451E-9556-770E8556F0B3}"/>
      </w:docPartPr>
      <w:docPartBody>
        <w:p w:rsidR="00181056" w:rsidRDefault="00465352" w:rsidP="00465352">
          <w:pPr>
            <w:pStyle w:val="57CF927A09D548BDB1345CBADA0B8FC8"/>
          </w:pPr>
          <w:r w:rsidRPr="00846DF8">
            <w:rPr>
              <w:rStyle w:val="PlaceholderText"/>
            </w:rPr>
            <w:t>[Publication Date]</w:t>
          </w:r>
        </w:p>
      </w:docPartBody>
    </w:docPart>
    <w:docPart>
      <w:docPartPr>
        <w:name w:val="03ABA2E3B5A9405EB6AA40EF2F5E796B"/>
        <w:category>
          <w:name w:val="General"/>
          <w:gallery w:val="placeholder"/>
        </w:category>
        <w:types>
          <w:type w:val="bbPlcHdr"/>
        </w:types>
        <w:behaviors>
          <w:behavior w:val="content"/>
        </w:behaviors>
        <w:guid w:val="{656A19A6-C329-4ED7-9D4E-8707F3FFF0AC}"/>
      </w:docPartPr>
      <w:docPartBody>
        <w:p w:rsidR="00181056" w:rsidRDefault="00465352" w:rsidP="00465352">
          <w:pPr>
            <w:pStyle w:val="03ABA2E3B5A9405EB6AA40EF2F5E796B"/>
          </w:pPr>
          <w:r w:rsidRPr="00846DF8">
            <w:rPr>
              <w:rStyle w:val="PlaceholderText"/>
            </w:rPr>
            <w:t>[Document Type]</w:t>
          </w:r>
        </w:p>
      </w:docPartBody>
    </w:docPart>
    <w:docPart>
      <w:docPartPr>
        <w:name w:val="EDAAC2D8537A43BC8D07AEBDF435AC41"/>
        <w:category>
          <w:name w:val="General"/>
          <w:gallery w:val="placeholder"/>
        </w:category>
        <w:types>
          <w:type w:val="bbPlcHdr"/>
        </w:types>
        <w:behaviors>
          <w:behavior w:val="content"/>
        </w:behaviors>
        <w:guid w:val="{ED9F1D00-34EA-4F46-A0A7-55725D50DAF9}"/>
      </w:docPartPr>
      <w:docPartBody>
        <w:p w:rsidR="00181056" w:rsidRDefault="00465352" w:rsidP="00465352">
          <w:pPr>
            <w:pStyle w:val="EDAAC2D8537A43BC8D07AEBDF435AC41"/>
          </w:pPr>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variable"/>
    <w:sig w:usb0="00000003"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AC"/>
    <w:rsid w:val="00063A70"/>
    <w:rsid w:val="00116D00"/>
    <w:rsid w:val="00181056"/>
    <w:rsid w:val="001E5649"/>
    <w:rsid w:val="00260392"/>
    <w:rsid w:val="002862FB"/>
    <w:rsid w:val="00465352"/>
    <w:rsid w:val="005A10C8"/>
    <w:rsid w:val="007967AC"/>
    <w:rsid w:val="009F1A72"/>
    <w:rsid w:val="00A51463"/>
    <w:rsid w:val="00AE0F36"/>
    <w:rsid w:val="00B301C6"/>
    <w:rsid w:val="00D875FF"/>
    <w:rsid w:val="00E8033C"/>
    <w:rsid w:val="00F1072F"/>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352"/>
    <w:rPr>
      <w:color w:val="808080"/>
    </w:rPr>
  </w:style>
  <w:style w:type="paragraph" w:customStyle="1" w:styleId="4C81D4C92EF14961AE4451FCF6270168">
    <w:name w:val="4C81D4C92EF14961AE4451FCF6270168"/>
    <w:rsid w:val="00465352"/>
  </w:style>
  <w:style w:type="paragraph" w:customStyle="1" w:styleId="57CF927A09D548BDB1345CBADA0B8FC8">
    <w:name w:val="57CF927A09D548BDB1345CBADA0B8FC8"/>
    <w:rsid w:val="00465352"/>
  </w:style>
  <w:style w:type="paragraph" w:customStyle="1" w:styleId="03ABA2E3B5A9405EB6AA40EF2F5E796B">
    <w:name w:val="03ABA2E3B5A9405EB6AA40EF2F5E796B"/>
    <w:rsid w:val="00465352"/>
  </w:style>
  <w:style w:type="paragraph" w:customStyle="1" w:styleId="EDAAC2D8537A43BC8D07AEBDF435AC41">
    <w:name w:val="EDAAC2D8537A43BC8D07AEBDF435AC41"/>
    <w:rsid w:val="00465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GSMADocumentCreatedBy xmlns="ADEDD60E-22E2-4049-BE99-80A2BB237DD5">
      <UserInfo>
        <DisplayName>Venkatsivakumar Boyalakuntla (GSMA)</DisplayName>
        <AccountId>30876</AccountId>
        <AccountType/>
      </UserInfo>
    </GSMADocumentCreatedBy>
    <GSMADocumentCreatedDate xmlns="ADEDD60E-22E2-4049-BE99-80A2BB237DD5">2019-02-01T14:56:57+00:00</GSMADocumentCreatedDate>
    <GSMADocumentOwner xmlns="ADEDD60E-22E2-4049-BE99-80A2BB237DD5">
      <UserInfo>
        <DisplayName>Gautam Hazari (GSMA)</DisplayName>
        <AccountId>21163</AccountId>
        <AccountType/>
      </UserInfo>
    </GSMADocumentOwner>
    <GSMASecurityGroup xmlns="ADEDD60E-22E2-4049-BE99-80A2BB237DD5">Non-confidential</GSMASecurityGroup>
    <GSMARelatedDiscussion xmlns="ADEDD60E-22E2-4049-BE99-80A2BB237DD5">
      <Url>https://infocentre2.gsma.com/gp/pr/Identity/Lists/DiscussionBoard/IDY.24 CR1001 IDY.24 Mobile Connect Account Takeover Protection Definition and Technical Requirements 7909</Url>
      <Description>IDY.24 CR1001 IDY.24 Mobile Connect Account Takeover Protection Definition and Technical Requirements</Description>
    </GSMARelatedDiscussion>
    <GSMADocumentNumber xmlns="ADEDD60E-22E2-4049-BE99-80A2BB237DD5">IDY.24</GSMADocumentNumber>
    <GSMADocumentTypeTaxHTField0 xmlns="ADEDD60E-22E2-4049-BE99-80A2BB237DD5">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ab8ec630-e9bb-472a-9390-c7460461458c</TermId>
        </TermInfo>
      </Terms>
    </GSMADocumentTypeTaxHTField0>
    <GSMAKBCategoryTaxHTField0 xmlns="ADEDD60E-22E2-4049-BE99-80A2BB237DD5">
      <Terms xmlns="http://schemas.microsoft.com/office/infopath/2007/PartnerControls"/>
    </GSMAKBCategoryTaxHTField0>
    <GSMATitle xmlns="ADEDD60E-22E2-4049-BE99-80A2BB237DD5">IDY.24 Mobile Connect Account Takeover Protection Definition and Technical Requirements </GSMATitle>
    <GSMATemplateConversionStatus xmlns="ADEDD60E-22E2-4049-BE99-80A2BB237DD5" xsi:nil="true"/>
    <_dlc_DocId xmlns="54cf9ea2-8b24-4a35-a789-c10402c86061">INFO-4588-138</_dlc_DocId>
    <_dlc_DocIdUrl xmlns="54cf9ea2-8b24-4a35-a789-c10402c86061">
      <Url>https://infocentre2.gsma.com/gp/pr/Identity/_layouts/DocIdRedir.aspx?ID=INFO-4588-138</Url>
      <Description>INFO-4588-138</Description>
    </_dlc_DocIdUrl>
    <GSMASimilarChangeRequests xmlns="ADEDD60E-22E2-4049-BE99-80A2BB237DD5" xsi:nil="true"/>
    <GSMAMeetingItemNumber xmlns="ADEDD60E-22E2-4049-BE99-80A2BB237DD5" xsi:nil="true"/>
    <GSMAAffectedDocumentSections xmlns="ADEDD60E-22E2-4049-BE99-80A2BB237DD5">all </GSMAAffectedDocumentSections>
    <GSMAChangeRequestNumber xmlns="ADEDD60E-22E2-4049-BE99-80A2BB237DD5">IDY.24 CR1002</GSMAChangeRequestNumber>
    <GSMAImpactedDocuments xmlns="ADEDD60E-22E2-4049-BE99-80A2BB237DD5" xsi:nil="true"/>
    <GSMAIssuingGroupProject xmlns="ADEDD60E-22E2-4049-BE99-80A2BB237DD5">TG</GSMAIssuingGroupProject>
    <GSMAMeetingDate xmlns="ADEDD60E-22E2-4049-BE99-80A2BB237DD5" xsi:nil="true"/>
    <GSMAMeetingLocation xmlns="ADEDD60E-22E2-4049-BE99-80A2BB237DD5" xsi:nil="true"/>
    <GSMAPublishedVersionIncrement xmlns="ADEDD60E-22E2-4049-BE99-80A2BB237DD5">Major Version</GSMAPublishedVersionIncrement>
    <GSMAApprovalStatus xmlns="ADEDD60E-22E2-4049-BE99-80A2BB237DD5">Approved</GSMAApprovalStatus>
    <GSMARelatedDocumentType xmlns="ADEDD60E-22E2-4049-BE99-80A2BB237DD5">Non-binding Permanent Reference Document</GSMARelatedDocumentType>
    <GSMAApprovingGroupProject xmlns="ADEDD60E-22E2-4049-BE99-80A2BB237DD5">TG</GSMAApprovingGroupProject>
    <GSMASubmittedOnBehalfOf xmlns="ADEDD60E-22E2-4049-BE99-80A2BB237DD5" xsi:nil="true"/>
    <GSMARelatedDocumentTitle xmlns="ADEDD60E-22E2-4049-BE99-80A2BB237DD5">IDY.24 Mobile Connect Account Takeover Protection Definition and Technical Requirements v0.1 (Current)</GSMARelatedDocumentTitle>
    <GSMAMeetingItemNumberLocal xmlns="ADEDD60E-22E2-4049-BE99-80A2BB237DD5" xsi:nil="true"/>
    <GSMAApprovalDate xmlns="ADEDD60E-22E2-4049-BE99-80A2BB237DD5">2020-03-06T08:16:57+00:00</GSMAApprovalDate>
    <GSMAMeetingNameAndNumber xmlns="ADEDD60E-22E2-4049-BE99-80A2BB237DD5">
      <Url xsi:nil="true"/>
      <Description xsi:nil="true"/>
    </GSMAMeetingNameAndNumber>
    <GSMAAffectedPRD xmlns="ADEDD60E-22E2-4049-BE99-80A2BB237DD5">&lt;?xml version="1.0"?&gt;&lt;RelatedDocumentData xmlns:xsi="http://www.w3.org/2001/XMLSchema-instance" xmlns:xsd="http://www.w3.org/2001/XMLSchema"&gt;  &lt;Title&gt;IDY.24 Mobile Connect Account Takeover Protection Definition and Technical Requirements v0.1 (Current)&lt;/Title&gt;  &lt;WebId&gt;024fa4fc-9985-4b78-8de3-9327fcd75402&lt;/WebId&gt;  &lt;ListId&gt;232bc451-64c7-48e7-93f8-acecc6a5b0b9&lt;/ListId&gt;  &lt;ItemId&gt;1bcb5700-a7ec-4a05-9d19-5ce77f36529a&lt;/ItemId&gt;  &lt;DocStoreVersion xsi:nil="true" /&gt;&lt;/RelatedDocumentData&gt;</GSMAAffectedPRD>
    <GSMAListOfContributors xmlns="ADEDD60E-22E2-4049-BE99-80A2BB237DD5" xsi:nil="true"/>
    <GSMASubmittedBy xmlns="ADEDD60E-22E2-4049-BE99-80A2BB237DD5">
      <UserInfo>
        <DisplayName>Venkatsivakumar Boyalakuntla (GSMA)</DisplayName>
        <AccountId>30876</AccountId>
        <AccountType/>
      </UserInfo>
    </GSMASubmittedBy>
    <GSMAChangeType xmlns="ADEDD60E-22E2-4049-BE99-80A2BB237DD5">Major Update</GSMAChangeType>
    <GSMAItemFor xmlns="ADEDD60E-22E2-4049-BE99-80A2BB237DD5">Approval</GSMAItemFor>
    <GSMAMeetingNameAndNumberText xmlns="ADEDD60E-22E2-4049-BE99-80A2BB237DD5" xsi:nil="true"/>
    <GSMAReasonKeyBusinessBenefits xmlns="ADEDD60E-22E2-4049-BE99-80A2BB237DD5">document refresh </GSMAReasonKeyBusinessBenefits>
    <GSMATemplateNumber xmlns="ADEDD60E-22E2-4049-BE99-80A2BB237DD5">0.5</GSMATemplateNumber>
    <GSMAMeetingNameAndNumberLocal xmlns="ADEDD60E-22E2-4049-BE99-80A2BB237DD5">
      <Url xsi:nil="true"/>
      <Description xsi:nil="true"/>
    </GSMAMeetingNameAndNumberLocal>
    <GSMAOwningGroup xmlns="ADEDD60E-22E2-4049-BE99-80A2BB237DD5">Identity</GSMAOwningGroup>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R Document" ma:contentTypeID="0x010100EC728DFF17A841B193288BA44365FF7000B94428117C9D4ABEAE546B343679976600BF54CB22B7F849D2BF566960DDFA6DA200FED380A3C1447349AE66BAD422FC0C78" ma:contentTypeVersion="5" ma:contentTypeDescription="CR Document" ma:contentTypeScope="" ma:versionID="dbe2e403ea173e449f9a6c92cd563333">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2656845c26b55d58ac88b89320ab740c"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AffectedPRD" minOccurs="0"/>
                <xsd:element ref="ns2:GSMAChangeRequestNumber" minOccurs="0"/>
                <xsd:element ref="ns2:GSMAPublishedVersionIncrement" minOccurs="0"/>
                <xsd:element ref="ns2:GSMAChangeType" minOccurs="0"/>
                <xsd:element ref="ns2:GSMASubmittedBy" minOccurs="0"/>
                <xsd:element ref="ns2:GSMAReasonKeyBusinessBenefits" minOccurs="0"/>
                <xsd:element ref="ns2:GSMAAffectedDocumentSections" minOccurs="0"/>
                <xsd:element ref="ns2:GSMASubmittedOnBehalfOf" minOccurs="0"/>
                <xsd:element ref="ns2:GSMAListOfContributors" minOccurs="0"/>
                <xsd:element ref="ns2:GSMARelatedDocumentType" minOccurs="0"/>
                <xsd:element ref="ns2:GSMARelatedDocumentTitle" minOccurs="0"/>
                <xsd:element ref="ns2:GSMAImpactedDocuments" minOccurs="0"/>
                <xsd:element ref="ns2:GSMASimilarChangeRequests" minOccurs="0"/>
                <xsd:element ref="ns2:GSMAApprovalDate" minOccurs="0"/>
                <xsd:element ref="ns2:GSMAApprovalStatus" minOccurs="0"/>
                <xsd:element ref="ns2:GSMAOwningGroup" minOccurs="0"/>
                <xsd:element ref="ns2:GSMADocumentNumber" minOccurs="0"/>
                <xsd:element ref="ns3:_dlc_DocId" minOccurs="0"/>
                <xsd:element ref="ns3:_dlc_DocIdUrl" minOccurs="0"/>
                <xsd:element ref="ns3:_dlc_DocIdPersistId" minOccurs="0"/>
                <xsd:element ref="ns2:GSMAIssuingGroupProject" minOccurs="0"/>
                <xsd:element ref="ns2:GSMAApprovingGroup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ma:readOnly="false">
      <xsd:simpleType>
        <xsd:restriction base="dms:Text"/>
      </xsd:simpleType>
    </xsd:element>
    <xsd:element name="GSMAMeetingNameAndNumber" ma:index="21" nillable="true" ma:displayName="Meeting Name and Number" ma:format="Hyperlink" ma:internalName="GSMAMeetingNameAndNumb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ma:readOnly="false">
      <xsd:simpleType>
        <xsd:restriction base="dms:Text"/>
      </xsd:simpleType>
    </xsd:element>
    <xsd:element name="GSMAMeetingDate" ma:index="23" nillable="true" ma:displayName="Meeting Date" ma:internalName="GSMAMeetingDate" ma:readOnly="false">
      <xsd:simpleType>
        <xsd:restriction base="dms:DateTime"/>
      </xsd:simpleType>
    </xsd:element>
    <xsd:element name="GSMAMeetingLocation" ma:index="24" nillable="true" ma:displayName="Meeting Location" ma:internalName="GSMAMeetingLocation" ma:readOnly="false">
      <xsd:simpleType>
        <xsd:restriction base="dms:Text"/>
      </xsd:simpleType>
    </xsd:element>
    <xsd:element name="GSMAMeetingNameAndNumberLocal" ma:index="25" nillable="true" ma:displayName="Meeting Name and Number (Local)" ma:format="Hyperlink" ma:internalName="GSMAMeetingNameAndNumberLoc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false">
      <xsd:simpleType>
        <xsd:restriction base="dms:Text"/>
      </xsd:simpleType>
    </xsd:element>
    <xsd:element name="GSMAItemFor" ma:index="27" nillable="true" ma:displayName="This document is for" ma:internalName="GSMAItemFor" ma:readOnly="false">
      <xsd:simpleType>
        <xsd:restriction base="dms:Choice">
          <xsd:enumeration value="Approval"/>
          <xsd:enumeration value="Discussion"/>
          <xsd:enumeration value="Information Only"/>
        </xsd:restriction>
      </xsd:simpleType>
    </xsd:element>
    <xsd:element name="GSMAAffectedPRD" ma:index="28" nillable="true" ma:displayName="Affected Official Document" ma:internalName="GSMAAffectedPRD" ma:readOnly="false">
      <xsd:simpleType>
        <xsd:restriction base="dms:Unknown"/>
      </xsd:simpleType>
    </xsd:element>
    <xsd:element name="GSMAChangeRequestNumber" ma:index="29" nillable="true" ma:displayName="Change Request Number" ma:internalName="GSMAChangeRequestNumber" ma:readOnly="false">
      <xsd:simpleType>
        <xsd:restriction base="dms:Text"/>
      </xsd:simpleType>
    </xsd:element>
    <xsd:element name="GSMAPublishedVersionIncrement" ma:index="30" nillable="true" ma:displayName="Published Version Increment" ma:internalName="GSMAPublishedVersionIncrement" ma:readOnly="false">
      <xsd:simpleType>
        <xsd:restriction base="dms:Choice">
          <xsd:enumeration value="Major Version"/>
          <xsd:enumeration value="Minor Version"/>
        </xsd:restriction>
      </xsd:simpleType>
    </xsd:element>
    <xsd:element name="GSMAChangeType" ma:index="31" nillable="true" ma:displayName="Change Type" ma:internalName="GSMAChangeType" ma:readOnly="false">
      <xsd:simpleType>
        <xsd:restriction base="dms:Choice">
          <xsd:enumeration value="Major Update"/>
          <xsd:enumeration value="Minor Update"/>
          <xsd:enumeration value="New Document"/>
        </xsd:restriction>
      </xsd:simpleType>
    </xsd:element>
    <xsd:element name="GSMASubmittedBy" ma:index="32" nillable="true" ma:displayName="Submitted By" ma:internalName="GSMA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asonKeyBusinessBenefits" ma:index="33" nillable="true" ma:displayName="Key Reasons and Benefits" ma:internalName="GSMAReasonKeyBusinessBenefits" ma:readOnly="false">
      <xsd:simpleType>
        <xsd:restriction base="dms:Note"/>
      </xsd:simpleType>
    </xsd:element>
    <xsd:element name="GSMAAffectedDocumentSections" ma:index="34" nillable="true" ma:displayName="Affected Document Sections" ma:internalName="GSMAAffectedDocumentSections" ma:readOnly="false">
      <xsd:simpleType>
        <xsd:restriction base="dms:Note"/>
      </xsd:simpleType>
    </xsd:element>
    <xsd:element name="GSMASubmittedOnBehalfOf" ma:index="35" nillable="true" ma:displayName="Submitted on behalf of" ma:internalName="GSMASubmittedOnBehalfOf" ma:readOnly="false">
      <xsd:simpleType>
        <xsd:restriction base="dms:Text"/>
      </xsd:simpleType>
    </xsd:element>
    <xsd:element name="GSMAListOfContributors" ma:index="36" nillable="true" ma:displayName="List of contributors" ma:description="A list of contributors to be displayed on the cover sheet of the document" ma:internalName="GSMAListOfContributors" ma:readOnly="false">
      <xsd:simpleType>
        <xsd:restriction base="dms:Note"/>
      </xsd:simpleType>
    </xsd:element>
    <xsd:element name="GSMARelatedDocumentType" ma:index="37" nillable="true" ma:displayName="Related Document Type" ma:internalName="GSMARelatedDocumentType" ma:readOnly="false">
      <xsd:simpleType>
        <xsd:restriction base="dms:Text"/>
      </xsd:simpleType>
    </xsd:element>
    <xsd:element name="GSMARelatedDocumentTitle" ma:index="38" nillable="true" ma:displayName="Related Document Title" ma:internalName="GSMARelatedDocumentTitle" ma:readOnly="false">
      <xsd:simpleType>
        <xsd:restriction base="dms:Text"/>
      </xsd:simpleType>
    </xsd:element>
    <xsd:element name="GSMAImpactedDocuments" ma:index="39" nillable="true" ma:displayName="Impacted Documents" ma:internalName="GSMAImpactedDocuments" ma:readOnly="false">
      <xsd:simpleType>
        <xsd:restriction base="dms:Unknown"/>
      </xsd:simpleType>
    </xsd:element>
    <xsd:element name="GSMASimilarChangeRequests" ma:index="40" nillable="true" ma:displayName="Similar Change Requests" ma:internalName="GSMASimilarChangeRequests" ma:readOnly="false">
      <xsd:simpleType>
        <xsd:restriction base="dms:Unknown"/>
      </xsd:simpleType>
    </xsd:element>
    <xsd:element name="GSMAApprovalDate" ma:index="41" nillable="true" ma:displayName="Approval Date" ma:internalName="GSMAApprovalDate" ma:readOnly="false">
      <xsd:simpleType>
        <xsd:restriction base="dms:DateTime"/>
      </xsd:simpleType>
    </xsd:element>
    <xsd:element name="GSMAApprovalStatus" ma:index="42" nillable="true" ma:displayName="Approval Status" ma:indexed="true" ma:internalName="GSMAApprovalStatus" ma:readOnly="false">
      <xsd:simpleType>
        <xsd:restriction base="dms:Text"/>
      </xsd:simpleType>
    </xsd:element>
    <xsd:element name="GSMAOwningGroup" ma:index="43" nillable="true" ma:displayName="Owning Group" ma:internalName="GSMAOwningGroup" ma:readOnly="false">
      <xsd:simpleType>
        <xsd:restriction base="dms:Text"/>
      </xsd:simpleType>
    </xsd:element>
    <xsd:element name="GSMADocumentNumber" ma:index="44" nillable="true" ma:displayName="PRD Number" ma:indexed="true" ma:internalName="GSMADocumentNumber" ma:readOnly="false">
      <xsd:simpleType>
        <xsd:restriction base="dms:Text"/>
      </xsd:simpleType>
    </xsd:element>
    <xsd:element name="GSMAIssuingGroupProject" ma:index="48" nillable="true" ma:displayName="Issuing Group/Project" ma:internalName="GSMAIssuingGroupProject" ma:readOnly="false">
      <xsd:simpleType>
        <xsd:restriction base="dms:Text"/>
      </xsd:simpleType>
    </xsd:element>
    <xsd:element name="GSMAApprovingGroupProject" ma:index="49" nillable="true" ma:displayName="Approving Group/Project" ma:internalName="GSMAApprovingGroupPro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6DCCA-2C61-42EA-A155-19EE9B50A5C5}">
  <ds:schemaRefs>
    <ds:schemaRef ds:uri="http://schemas.microsoft.com/sharepoint/v3/contenttype/forms"/>
  </ds:schemaRefs>
</ds:datastoreItem>
</file>

<file path=customXml/itemProps2.xml><?xml version="1.0" encoding="utf-8"?>
<ds:datastoreItem xmlns:ds="http://schemas.openxmlformats.org/officeDocument/2006/customXml" ds:itemID="{25B35683-E782-4B0E-A9E9-03C56B1AD123}">
  <ds:schemaRefs>
    <ds:schemaRef ds:uri="http://schemas.openxmlformats.org/officeDocument/2006/bibliography"/>
  </ds:schemaRefs>
</ds:datastoreItem>
</file>

<file path=customXml/itemProps3.xml><?xml version="1.0" encoding="utf-8"?>
<ds:datastoreItem xmlns:ds="http://schemas.openxmlformats.org/officeDocument/2006/customXml" ds:itemID="{D612F80C-BCC6-4708-8333-327470281DFD}">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4.xml><?xml version="1.0" encoding="utf-8"?>
<ds:datastoreItem xmlns:ds="http://schemas.openxmlformats.org/officeDocument/2006/customXml" ds:itemID="{11C5A0D3-B440-4C27-B595-0D63398F19A0}">
  <ds:schemaRefs>
    <ds:schemaRef ds:uri="http://schemas.microsoft.com/sharepoint/events"/>
  </ds:schemaRefs>
</ds:datastoreItem>
</file>

<file path=customXml/itemProps5.xml><?xml version="1.0" encoding="utf-8"?>
<ds:datastoreItem xmlns:ds="http://schemas.openxmlformats.org/officeDocument/2006/customXml" ds:itemID="{499CFF16-1D80-418D-A903-EAC077ED9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4968</Words>
  <Characters>28319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IDY.24 Mobile Connect Account Takeover Protection Definition and Technical Requirements</vt:lpstr>
    </vt:vector>
  </TitlesOfParts>
  <LinksUpToDate>false</LinksUpToDate>
  <CharactersWithSpaces>33221</CharactersWithSpaces>
  <SharedDoc>false</SharedDoc>
  <HLinks>
    <vt:vector size="12" baseType="variant">
      <vt:variant>
        <vt:i4>4390936</vt:i4>
      </vt:variant>
      <vt:variant>
        <vt:i4>6</vt:i4>
      </vt:variant>
      <vt:variant>
        <vt:i4>0</vt:i4>
      </vt:variant>
      <vt:variant>
        <vt:i4>5</vt:i4>
      </vt:variant>
      <vt:variant>
        <vt:lpwstr>https://infocentre.gsm.org/cgi-bin/docdisp.cgi?275305</vt:lpwstr>
      </vt:variant>
      <vt:variant>
        <vt:lpwstr/>
      </vt:variant>
      <vt:variant>
        <vt:i4>5832704</vt:i4>
      </vt:variant>
      <vt:variant>
        <vt:i4>3</vt:i4>
      </vt:variant>
      <vt:variant>
        <vt:i4>0</vt:i4>
      </vt:variant>
      <vt:variant>
        <vt:i4>5</vt:i4>
      </vt:variant>
      <vt:variant>
        <vt:lpwstr>https://infocentre.gsm.org/cgi-bin/prddets.cgi?274175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IDY.24 Mobile Connect Account Takeover Protection Definition and Technical Requirements</dc:title>
  <dc:creator/>
  <dc:description/>
  <cp:lastModifiedBy/>
  <cp:revision>1</cp:revision>
  <dcterms:created xsi:type="dcterms:W3CDTF">2022-12-06T23:11:00Z</dcterms:created>
  <dcterms:modified xsi:type="dcterms:W3CDTF">2022-12-06T23:11:00Z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MAKBCategory">
    <vt:lpwstr/>
  </property>
  <property fmtid="{D5CDD505-2E9C-101B-9397-08002B2CF9AE}" pid="3" name="ContentTypeId">
    <vt:lpwstr>0x010100EC728DFF17A841B193288BA44365FF7000B94428117C9D4ABEAE546B343679976600BF54CB22B7F849D2BF566960DDFA6DA200FED380A3C1447349AE66BAD422FC0C78</vt:lpwstr>
  </property>
  <property fmtid="{D5CDD505-2E9C-101B-9397-08002B2CF9AE}" pid="4" name="GSMADocumentType">
    <vt:lpwstr>4;#Change Request|ab8ec630-e9bb-472a-9390-c7460461458c</vt:lpwstr>
  </property>
  <property fmtid="{D5CDD505-2E9C-101B-9397-08002B2CF9AE}" pid="5" name="TaxCatchAll">
    <vt:lpwstr>4;#Change Request|ab8ec630-e9bb-472a-9390-c7460461458c</vt:lpwstr>
  </property>
  <property fmtid="{D5CDD505-2E9C-101B-9397-08002B2CF9AE}" pid="6" name="GSMAEditionType">
    <vt:lpwstr/>
  </property>
  <property fmtid="{D5CDD505-2E9C-101B-9397-08002B2CF9AE}" pid="7" name="GSMAChangeRequestApprover">
    <vt:lpwstr>30876;#Venkatsivakumar Boyalakuntla (GSMA)</vt:lpwstr>
  </property>
  <property fmtid="{D5CDD505-2E9C-101B-9397-08002B2CF9AE}" pid="8" name="_dlc_DocIdItemGuid">
    <vt:lpwstr>6e75ea20-98e7-4994-9c6a-f1b3c966819c</vt:lpwstr>
  </property>
  <property fmtid="{D5CDD505-2E9C-101B-9397-08002B2CF9AE}" pid="9" name="GSMAShowInGeneralView">
    <vt:bool>false</vt:bool>
  </property>
  <property fmtid="{D5CDD505-2E9C-101B-9397-08002B2CF9AE}" pid="10" name="GSMAIssuingGroupProject">
    <vt:lpwstr>-</vt:lpwstr>
  </property>
  <property fmtid="{D5CDD505-2E9C-101B-9397-08002B2CF9AE}" pid="11" name="GSMAApprovingGroupProject">
    <vt:lpwstr>-</vt:lpwstr>
  </property>
  <property fmtid="{D5CDD505-2E9C-101B-9397-08002B2CF9AE}" pid="12" name="GSMAMeetingNameAndNumber">
    <vt:lpwstr>, </vt:lpwstr>
  </property>
  <property fmtid="{D5CDD505-2E9C-101B-9397-08002B2CF9AE}" pid="13" name="GSMASubmittedBy">
    <vt:lpwstr/>
  </property>
  <property fmtid="{D5CDD505-2E9C-101B-9397-08002B2CF9AE}" pid="14" name="GSMAPRDVersion">
    <vt:lpwstr/>
  </property>
  <property fmtid="{D5CDD505-2E9C-101B-9397-08002B2CF9AE}" pid="15" name="GSMASummary">
    <vt:lpwstr/>
  </property>
  <property fmtid="{D5CDD505-2E9C-101B-9397-08002B2CF9AE}" pid="16" name="Order">
    <vt:r8>8400</vt:r8>
  </property>
  <property fmtid="{D5CDD505-2E9C-101B-9397-08002B2CF9AE}" pid="17" name="GSMAAppliedToODVersion">
    <vt:lpwstr/>
  </property>
  <property fmtid="{D5CDD505-2E9C-101B-9397-08002B2CF9AE}" pid="18" name="xd_ProgID">
    <vt:lpwstr/>
  </property>
  <property fmtid="{D5CDD505-2E9C-101B-9397-08002B2CF9AE}" pid="19" name="DocumentSetDescription">
    <vt:lpwstr/>
  </property>
  <property fmtid="{D5CDD505-2E9C-101B-9397-08002B2CF9AE}" pid="20" name="GSMAAdditionalReaders">
    <vt:lpwstr/>
  </property>
  <property fmtid="{D5CDD505-2E9C-101B-9397-08002B2CF9AE}" pid="21" name="GSMAApprovingGroup">
    <vt:lpwstr>&lt;?xml version="1.0"?&gt;&lt;RelatedDocumentData xmlns:xsi="http://www.w3.org/2001/XMLSchema-instance" xmlns:xsd="http://www.w3.org/2001/XMLSchema"&gt;&lt;Title&gt;Identity&lt;/Title&gt;&lt;WebId&gt;024fa4fc-9985-4b78-8de3-9327fcd75402&lt;/WebId&gt;&lt;ListId&gt;00000000-0000-0000-0000-00000000</vt:lpwstr>
  </property>
  <property fmtid="{D5CDD505-2E9C-101B-9397-08002B2CF9AE}" pid="22" name="GSMAAdditionalContributors">
    <vt:lpwstr/>
  </property>
  <property fmtid="{D5CDD505-2E9C-101B-9397-08002B2CF9AE}" pid="23" name="GSMAIssuingGroup">
    <vt:lpwstr>&lt;?xml version="1.0"?&gt;&lt;RelatedDocumentData xmlns:xsi="http://www.w3.org/2001/XMLSchema-instance" xmlns:xsd="http://www.w3.org/2001/XMLSchema"&gt;&lt;Title&gt;Identity&lt;/Title&gt;&lt;WebId&gt;024fa4fc-9985-4b78-8de3-9327fcd75402&lt;/WebId&gt;&lt;ListId&gt;00000000-0000-0000-0000-00000000</vt:lpwstr>
  </property>
  <property fmtid="{D5CDD505-2E9C-101B-9397-08002B2CF9AE}" pid="24" name="TemplateUrl">
    <vt:lpwstr/>
  </property>
  <property fmtid="{D5CDD505-2E9C-101B-9397-08002B2CF9AE}" pid="25" name="GSMAOfficialDocumentType">
    <vt:lpwstr/>
  </property>
  <property fmtid="{D5CDD505-2E9C-101B-9397-08002B2CF9AE}" pid="26" name="GSMARemarks">
    <vt:lpwstr/>
  </property>
  <property fmtid="{D5CDD505-2E9C-101B-9397-08002B2CF9AE}" pid="27" name="GSMABusinessPurpose">
    <vt:lpwstr/>
  </property>
  <property fmtid="{D5CDD505-2E9C-101B-9397-08002B2CF9AE}" pid="28" name="GSMAAnticipatedApprovalDate">
    <vt:filetime>2019-02-01T00:00:00Z</vt:filetime>
  </property>
  <property fmtid="{D5CDD505-2E9C-101B-9397-08002B2CF9AE}" pid="29" name="URL">
    <vt:lpwstr/>
  </property>
  <property fmtid="{D5CDD505-2E9C-101B-9397-08002B2CF9AE}" pid="30" name="_docset_NoMedatataSyncRequired">
    <vt:lpwstr>False</vt:lpwstr>
  </property>
</Properties>
</file>