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EA392" w14:textId="77777777" w:rsidR="00037669" w:rsidRPr="002A4679" w:rsidRDefault="00037669" w:rsidP="00E45FB7">
      <w:pPr>
        <w:pStyle w:val="NormalWeb"/>
        <w:jc w:val="both"/>
        <w:rPr>
          <w:rFonts w:ascii="Arial" w:hAnsi="Arial" w:cs="Arial"/>
          <w:b/>
          <w:bCs/>
          <w:sz w:val="22"/>
          <w:szCs w:val="22"/>
        </w:rPr>
      </w:pPr>
      <w:r w:rsidRPr="002A4679">
        <w:rPr>
          <w:rFonts w:ascii="Arial" w:hAnsi="Arial" w:cs="Arial"/>
          <w:b/>
          <w:bCs/>
          <w:sz w:val="22"/>
          <w:szCs w:val="22"/>
        </w:rPr>
        <w:t xml:space="preserve">Methodology </w:t>
      </w:r>
    </w:p>
    <w:p w14:paraId="26B45BAB" w14:textId="407A6477" w:rsidR="002D628D" w:rsidRDefault="002D628D" w:rsidP="00E45FB7">
      <w:pPr>
        <w:pStyle w:val="NormalWeb"/>
        <w:jc w:val="both"/>
        <w:rPr>
          <w:rFonts w:ascii="Arial" w:hAnsi="Arial" w:cs="Arial"/>
          <w:sz w:val="22"/>
          <w:szCs w:val="22"/>
        </w:rPr>
      </w:pPr>
      <w:r>
        <w:rPr>
          <w:rFonts w:ascii="Arial" w:hAnsi="Arial" w:cs="Arial"/>
          <w:sz w:val="22"/>
          <w:szCs w:val="22"/>
        </w:rPr>
        <w:t xml:space="preserve">The GSMA commissioned </w:t>
      </w:r>
      <w:r w:rsidR="0033524F">
        <w:rPr>
          <w:rFonts w:ascii="Arial" w:hAnsi="Arial" w:cs="Arial"/>
          <w:sz w:val="22"/>
          <w:szCs w:val="22"/>
        </w:rPr>
        <w:t>DMA Global (</w:t>
      </w:r>
      <w:hyperlink r:id="rId4" w:history="1">
        <w:r w:rsidR="0033524F" w:rsidRPr="0033524F">
          <w:rPr>
            <w:rStyle w:val="Hyperlink"/>
            <w:rFonts w:ascii="Arial" w:hAnsi="Arial" w:cs="Arial"/>
            <w:sz w:val="22"/>
            <w:szCs w:val="22"/>
          </w:rPr>
          <w:t>DM</w:t>
        </w:r>
        <w:r w:rsidR="0033524F" w:rsidRPr="0033524F">
          <w:rPr>
            <w:rStyle w:val="Hyperlink"/>
            <w:rFonts w:ascii="Arial" w:hAnsi="Arial" w:cs="Arial"/>
            <w:sz w:val="22"/>
            <w:szCs w:val="22"/>
          </w:rPr>
          <w:t>A</w:t>
        </w:r>
        <w:r w:rsidR="0033524F" w:rsidRPr="0033524F">
          <w:rPr>
            <w:rStyle w:val="Hyperlink"/>
            <w:rFonts w:ascii="Arial" w:hAnsi="Arial" w:cs="Arial"/>
            <w:sz w:val="22"/>
            <w:szCs w:val="22"/>
          </w:rPr>
          <w:t>G</w:t>
        </w:r>
      </w:hyperlink>
      <w:r w:rsidR="0033524F">
        <w:rPr>
          <w:rFonts w:ascii="Arial" w:hAnsi="Arial" w:cs="Arial"/>
          <w:sz w:val="22"/>
          <w:szCs w:val="22"/>
        </w:rPr>
        <w:t xml:space="preserve">) </w:t>
      </w:r>
      <w:r>
        <w:rPr>
          <w:rFonts w:ascii="Arial" w:hAnsi="Arial" w:cs="Arial"/>
          <w:sz w:val="22"/>
          <w:szCs w:val="22"/>
        </w:rPr>
        <w:t xml:space="preserve">an expert in remittance surveys, to collect the cost of remittances. </w:t>
      </w:r>
    </w:p>
    <w:p w14:paraId="4166085C" w14:textId="1A14B018" w:rsidR="00037669" w:rsidRPr="00D862E2" w:rsidRDefault="00037669" w:rsidP="00E45FB7">
      <w:pPr>
        <w:pStyle w:val="NormalWeb"/>
        <w:jc w:val="both"/>
        <w:rPr>
          <w:rFonts w:ascii="Arial" w:hAnsi="Arial" w:cs="Arial"/>
          <w:sz w:val="22"/>
          <w:szCs w:val="22"/>
        </w:rPr>
      </w:pPr>
      <w:r w:rsidRPr="00D862E2">
        <w:rPr>
          <w:rFonts w:ascii="Arial" w:hAnsi="Arial" w:cs="Arial"/>
          <w:sz w:val="22"/>
          <w:szCs w:val="22"/>
        </w:rPr>
        <w:t xml:space="preserve">The following methodology describes the approach </w:t>
      </w:r>
      <w:r w:rsidR="007C4D92">
        <w:rPr>
          <w:rFonts w:ascii="Arial" w:hAnsi="Arial" w:cs="Arial"/>
          <w:sz w:val="22"/>
          <w:szCs w:val="22"/>
        </w:rPr>
        <w:t>to collecting</w:t>
      </w:r>
      <w:r w:rsidRPr="00D862E2">
        <w:rPr>
          <w:rFonts w:ascii="Arial" w:hAnsi="Arial" w:cs="Arial"/>
          <w:sz w:val="22"/>
          <w:szCs w:val="22"/>
        </w:rPr>
        <w:t xml:space="preserve"> the data for the three pricing points per provider per corridor (US$50, US$100 and US$200). The data is presented in a table format. The methodology used is very similar to that used by the World Bank in its Remittance Prices Worldwide database (RPW).</w:t>
      </w:r>
    </w:p>
    <w:p w14:paraId="025B7B3B" w14:textId="77777777" w:rsidR="00037669" w:rsidRPr="00D862E2" w:rsidRDefault="00037669" w:rsidP="00E45FB7">
      <w:pPr>
        <w:pStyle w:val="NormalWeb"/>
        <w:jc w:val="both"/>
        <w:rPr>
          <w:rFonts w:ascii="Arial" w:hAnsi="Arial" w:cs="Arial"/>
          <w:sz w:val="22"/>
          <w:szCs w:val="22"/>
        </w:rPr>
      </w:pPr>
      <w:r w:rsidRPr="00D862E2">
        <w:rPr>
          <w:rFonts w:ascii="Arial" w:hAnsi="Arial" w:cs="Arial"/>
          <w:sz w:val="22"/>
          <w:szCs w:val="22"/>
        </w:rPr>
        <w:t xml:space="preserve">The key activities that were undertaken included: </w:t>
      </w:r>
    </w:p>
    <w:p w14:paraId="0A9336B1" w14:textId="77777777" w:rsidR="00037669" w:rsidRPr="002A4679" w:rsidRDefault="00037669" w:rsidP="00E45FB7">
      <w:pPr>
        <w:pStyle w:val="NormalWeb"/>
        <w:jc w:val="both"/>
        <w:rPr>
          <w:rFonts w:ascii="Arial" w:hAnsi="Arial" w:cs="Arial"/>
          <w:b/>
          <w:bCs/>
          <w:sz w:val="22"/>
          <w:szCs w:val="22"/>
        </w:rPr>
      </w:pPr>
      <w:r w:rsidRPr="002A4679">
        <w:rPr>
          <w:rFonts w:ascii="Arial" w:hAnsi="Arial" w:cs="Arial"/>
          <w:b/>
          <w:bCs/>
          <w:sz w:val="22"/>
          <w:szCs w:val="22"/>
        </w:rPr>
        <w:t xml:space="preserve">Corridors </w:t>
      </w:r>
    </w:p>
    <w:p w14:paraId="4CA5D6E1" w14:textId="3C684D10" w:rsidR="00037669" w:rsidRPr="00D862E2" w:rsidRDefault="00037669" w:rsidP="00E45FB7">
      <w:pPr>
        <w:pStyle w:val="NormalWeb"/>
        <w:jc w:val="both"/>
        <w:rPr>
          <w:rFonts w:ascii="Arial" w:hAnsi="Arial" w:cs="Arial"/>
          <w:sz w:val="22"/>
          <w:szCs w:val="22"/>
        </w:rPr>
      </w:pPr>
      <w:r w:rsidRPr="00D862E2">
        <w:rPr>
          <w:rFonts w:ascii="Arial" w:hAnsi="Arial" w:cs="Arial"/>
          <w:sz w:val="22"/>
          <w:szCs w:val="22"/>
        </w:rPr>
        <w:t xml:space="preserve">Based on the information provided by GSMA and additional research that </w:t>
      </w:r>
      <w:r w:rsidR="007C4D92">
        <w:rPr>
          <w:rFonts w:ascii="Arial" w:hAnsi="Arial" w:cs="Arial"/>
          <w:sz w:val="22"/>
          <w:szCs w:val="22"/>
        </w:rPr>
        <w:t>DMAG has undertaken</w:t>
      </w:r>
      <w:r w:rsidRPr="00D862E2">
        <w:rPr>
          <w:rFonts w:ascii="Arial" w:hAnsi="Arial" w:cs="Arial"/>
          <w:sz w:val="22"/>
          <w:szCs w:val="22"/>
        </w:rPr>
        <w:t xml:space="preserve">, </w:t>
      </w:r>
      <w:r w:rsidR="002C3A8A">
        <w:rPr>
          <w:rFonts w:ascii="Arial" w:hAnsi="Arial" w:cs="Arial"/>
          <w:sz w:val="22"/>
          <w:szCs w:val="22"/>
        </w:rPr>
        <w:t>it was</w:t>
      </w:r>
      <w:r w:rsidRPr="00D862E2">
        <w:rPr>
          <w:rFonts w:ascii="Arial" w:hAnsi="Arial" w:cs="Arial"/>
          <w:sz w:val="22"/>
          <w:szCs w:val="22"/>
        </w:rPr>
        <w:t xml:space="preserve"> determined that there were 23 send countries and </w:t>
      </w:r>
      <w:r w:rsidR="00F459F5">
        <w:rPr>
          <w:rFonts w:ascii="Arial" w:hAnsi="Arial" w:cs="Arial"/>
          <w:sz w:val="22"/>
          <w:szCs w:val="22"/>
        </w:rPr>
        <w:t>37</w:t>
      </w:r>
      <w:r w:rsidRPr="00D862E2">
        <w:rPr>
          <w:rFonts w:ascii="Arial" w:hAnsi="Arial" w:cs="Arial"/>
          <w:sz w:val="22"/>
          <w:szCs w:val="22"/>
        </w:rPr>
        <w:t xml:space="preserve"> receive countries, 161 corridors and </w:t>
      </w:r>
      <w:r w:rsidR="00E45FB7">
        <w:rPr>
          <w:rFonts w:ascii="Arial" w:hAnsi="Arial" w:cs="Arial"/>
          <w:sz w:val="22"/>
          <w:szCs w:val="22"/>
        </w:rPr>
        <w:t>4</w:t>
      </w:r>
      <w:r w:rsidR="00F459F5">
        <w:rPr>
          <w:rFonts w:ascii="Arial" w:hAnsi="Arial" w:cs="Arial"/>
          <w:sz w:val="22"/>
          <w:szCs w:val="22"/>
        </w:rPr>
        <w:t>5</w:t>
      </w:r>
      <w:r w:rsidRPr="00D862E2">
        <w:rPr>
          <w:rFonts w:ascii="Arial" w:hAnsi="Arial" w:cs="Arial"/>
          <w:sz w:val="22"/>
          <w:szCs w:val="22"/>
        </w:rPr>
        <w:t xml:space="preserve"> different service providers</w:t>
      </w:r>
      <w:r w:rsidR="00F459F5">
        <w:rPr>
          <w:rFonts w:ascii="Arial" w:hAnsi="Arial" w:cs="Arial"/>
          <w:sz w:val="22"/>
          <w:szCs w:val="22"/>
        </w:rPr>
        <w:t xml:space="preserve"> offering 343 services across these corridors</w:t>
      </w:r>
      <w:r w:rsidRPr="00D862E2">
        <w:rPr>
          <w:rFonts w:ascii="Arial" w:hAnsi="Arial" w:cs="Arial"/>
          <w:sz w:val="22"/>
          <w:szCs w:val="22"/>
        </w:rPr>
        <w:t xml:space="preserve">. </w:t>
      </w:r>
    </w:p>
    <w:p w14:paraId="11315783" w14:textId="77777777" w:rsidR="00037669" w:rsidRPr="002A4679" w:rsidRDefault="00037669" w:rsidP="00E45FB7">
      <w:pPr>
        <w:pStyle w:val="NormalWeb"/>
        <w:jc w:val="both"/>
        <w:rPr>
          <w:rFonts w:ascii="Arial" w:hAnsi="Arial" w:cs="Arial"/>
          <w:b/>
          <w:bCs/>
          <w:sz w:val="22"/>
          <w:szCs w:val="22"/>
        </w:rPr>
      </w:pPr>
      <w:r w:rsidRPr="002A4679">
        <w:rPr>
          <w:rFonts w:ascii="Arial" w:hAnsi="Arial" w:cs="Arial"/>
          <w:b/>
          <w:bCs/>
          <w:sz w:val="22"/>
          <w:szCs w:val="22"/>
        </w:rPr>
        <w:t xml:space="preserve">Data collection methodology </w:t>
      </w:r>
    </w:p>
    <w:p w14:paraId="2CF708B8" w14:textId="06DF5A89" w:rsidR="00037669" w:rsidRPr="00D862E2" w:rsidRDefault="00037669" w:rsidP="00E45FB7">
      <w:pPr>
        <w:pStyle w:val="NormalWeb"/>
        <w:jc w:val="both"/>
        <w:rPr>
          <w:rFonts w:ascii="Arial" w:hAnsi="Arial" w:cs="Arial"/>
          <w:sz w:val="22"/>
          <w:szCs w:val="22"/>
        </w:rPr>
      </w:pPr>
      <w:r w:rsidRPr="00D862E2">
        <w:rPr>
          <w:rFonts w:ascii="Arial" w:hAnsi="Arial" w:cs="Arial"/>
          <w:sz w:val="22"/>
          <w:szCs w:val="22"/>
        </w:rPr>
        <w:t>All the data collection was undertaken using mystery shopping techniques. A researcher (who understands remittances and the market involved) posed as a customer and gathered the relevant information by undertaking enquiries using their account with the relevant mobile money operator or via a phone call or</w:t>
      </w:r>
      <w:r w:rsidR="007C4D92">
        <w:rPr>
          <w:rFonts w:ascii="Arial" w:hAnsi="Arial" w:cs="Arial"/>
          <w:sz w:val="22"/>
          <w:szCs w:val="22"/>
        </w:rPr>
        <w:t>,</w:t>
      </w:r>
      <w:r w:rsidRPr="00D862E2">
        <w:rPr>
          <w:rFonts w:ascii="Arial" w:hAnsi="Arial" w:cs="Arial"/>
          <w:sz w:val="22"/>
          <w:szCs w:val="22"/>
        </w:rPr>
        <w:t xml:space="preserve"> if necessary</w:t>
      </w:r>
      <w:r w:rsidR="007C4D92">
        <w:rPr>
          <w:rFonts w:ascii="Arial" w:hAnsi="Arial" w:cs="Arial"/>
          <w:sz w:val="22"/>
          <w:szCs w:val="22"/>
        </w:rPr>
        <w:t>,</w:t>
      </w:r>
      <w:r w:rsidRPr="00D862E2">
        <w:rPr>
          <w:rFonts w:ascii="Arial" w:hAnsi="Arial" w:cs="Arial"/>
          <w:sz w:val="22"/>
          <w:szCs w:val="22"/>
        </w:rPr>
        <w:t xml:space="preserve"> a visit to a local store. Given the nature of the service</w:t>
      </w:r>
      <w:r w:rsidR="007C4D92">
        <w:rPr>
          <w:rFonts w:ascii="Arial" w:hAnsi="Arial" w:cs="Arial"/>
          <w:sz w:val="22"/>
          <w:szCs w:val="22"/>
        </w:rPr>
        <w:t>,</w:t>
      </w:r>
      <w:r w:rsidRPr="00D862E2">
        <w:rPr>
          <w:rFonts w:ascii="Arial" w:hAnsi="Arial" w:cs="Arial"/>
          <w:sz w:val="22"/>
          <w:szCs w:val="22"/>
        </w:rPr>
        <w:t xml:space="preserve"> there were occasions when online research was undertaken. This was where, for instance, the customer would regularly interact with the service provider in that way or via an app. In all cases</w:t>
      </w:r>
      <w:r w:rsidR="007C4D92">
        <w:rPr>
          <w:rFonts w:ascii="Arial" w:hAnsi="Arial" w:cs="Arial"/>
          <w:sz w:val="22"/>
          <w:szCs w:val="22"/>
        </w:rPr>
        <w:t>,</w:t>
      </w:r>
      <w:r w:rsidRPr="00D862E2">
        <w:rPr>
          <w:rFonts w:ascii="Arial" w:hAnsi="Arial" w:cs="Arial"/>
          <w:sz w:val="22"/>
          <w:szCs w:val="22"/>
        </w:rPr>
        <w:t xml:space="preserve"> the information gathered was also reflective of the customer experience. </w:t>
      </w:r>
    </w:p>
    <w:p w14:paraId="1C16434D" w14:textId="10473932" w:rsidR="00037669" w:rsidRPr="00D862E2" w:rsidRDefault="00226CD4" w:rsidP="00E45FB7">
      <w:pPr>
        <w:pStyle w:val="NormalWeb"/>
        <w:jc w:val="both"/>
        <w:rPr>
          <w:rFonts w:ascii="Arial" w:hAnsi="Arial" w:cs="Arial"/>
          <w:sz w:val="22"/>
          <w:szCs w:val="22"/>
        </w:rPr>
      </w:pPr>
      <w:r>
        <w:rPr>
          <w:rFonts w:ascii="Arial" w:hAnsi="Arial" w:cs="Arial"/>
          <w:sz w:val="22"/>
          <w:szCs w:val="22"/>
        </w:rPr>
        <w:t xml:space="preserve">The researchers were required to use a call centre on a few occasions </w:t>
      </w:r>
      <w:r w:rsidR="007C4D92">
        <w:rPr>
          <w:rFonts w:ascii="Arial" w:hAnsi="Arial" w:cs="Arial"/>
          <w:sz w:val="22"/>
          <w:szCs w:val="22"/>
        </w:rPr>
        <w:t>because some regions had connectivity issues</w:t>
      </w:r>
      <w:r w:rsidR="00037669" w:rsidRPr="00D862E2">
        <w:rPr>
          <w:rFonts w:ascii="Arial" w:hAnsi="Arial" w:cs="Arial"/>
          <w:sz w:val="22"/>
          <w:szCs w:val="22"/>
        </w:rPr>
        <w:t xml:space="preserve">. </w:t>
      </w:r>
    </w:p>
    <w:p w14:paraId="1D20AD41" w14:textId="0D41D669" w:rsidR="00037669" w:rsidRDefault="00037669" w:rsidP="00E45FB7">
      <w:pPr>
        <w:pStyle w:val="NormalWeb"/>
        <w:jc w:val="both"/>
        <w:rPr>
          <w:rFonts w:ascii="Arial" w:hAnsi="Arial" w:cs="Arial"/>
          <w:sz w:val="22"/>
          <w:szCs w:val="22"/>
        </w:rPr>
      </w:pPr>
      <w:r w:rsidRPr="00D862E2">
        <w:rPr>
          <w:rFonts w:ascii="Arial" w:hAnsi="Arial" w:cs="Arial"/>
          <w:sz w:val="22"/>
          <w:szCs w:val="22"/>
        </w:rPr>
        <w:t xml:space="preserve">DMAG’s experienced team of remittance price researchers collected the data in a way so that it is as representative as possible. All the data for each specific corridor was collected on the same day to ensure the optimum basis for comparison. </w:t>
      </w:r>
    </w:p>
    <w:p w14:paraId="31CB2707" w14:textId="0D2A11AD" w:rsidR="004F6B9F" w:rsidRDefault="004F6B9F" w:rsidP="00E45FB7">
      <w:pPr>
        <w:pStyle w:val="NormalWeb"/>
        <w:jc w:val="both"/>
        <w:rPr>
          <w:rFonts w:ascii="Arial" w:hAnsi="Arial" w:cs="Arial"/>
          <w:sz w:val="22"/>
          <w:szCs w:val="22"/>
        </w:rPr>
      </w:pPr>
      <w:r>
        <w:rPr>
          <w:rFonts w:ascii="Arial" w:hAnsi="Arial" w:cs="Arial"/>
          <w:sz w:val="22"/>
          <w:szCs w:val="22"/>
        </w:rPr>
        <w:t xml:space="preserve">All </w:t>
      </w:r>
      <w:r w:rsidR="007C4D92">
        <w:rPr>
          <w:rFonts w:ascii="Arial" w:hAnsi="Arial" w:cs="Arial"/>
          <w:sz w:val="22"/>
          <w:szCs w:val="22"/>
        </w:rPr>
        <w:t>the survey data</w:t>
      </w:r>
      <w:r>
        <w:rPr>
          <w:rFonts w:ascii="Arial" w:hAnsi="Arial" w:cs="Arial"/>
          <w:sz w:val="22"/>
          <w:szCs w:val="22"/>
        </w:rPr>
        <w:t xml:space="preserve"> was collected between 24 and 26 August 2022.</w:t>
      </w:r>
    </w:p>
    <w:p w14:paraId="77D24C7D" w14:textId="6A2E9D84" w:rsidR="00BE1368" w:rsidRPr="00D862E2" w:rsidRDefault="00BE1368" w:rsidP="00E45FB7">
      <w:pPr>
        <w:pStyle w:val="NormalWeb"/>
        <w:jc w:val="both"/>
        <w:rPr>
          <w:rFonts w:ascii="Arial" w:hAnsi="Arial" w:cs="Arial"/>
          <w:sz w:val="22"/>
          <w:szCs w:val="22"/>
        </w:rPr>
      </w:pPr>
      <w:r>
        <w:rPr>
          <w:rFonts w:ascii="Arial" w:hAnsi="Arial" w:cs="Arial"/>
          <w:sz w:val="22"/>
          <w:szCs w:val="22"/>
        </w:rPr>
        <w:t>The key data sections are:</w:t>
      </w:r>
    </w:p>
    <w:p w14:paraId="09A346A5" w14:textId="688641CB" w:rsidR="00037669" w:rsidRPr="00D862E2" w:rsidRDefault="00037669" w:rsidP="00E45FB7">
      <w:pPr>
        <w:pStyle w:val="NormalWeb"/>
        <w:jc w:val="both"/>
        <w:rPr>
          <w:rFonts w:ascii="Arial" w:hAnsi="Arial" w:cs="Arial"/>
          <w:sz w:val="22"/>
          <w:szCs w:val="22"/>
        </w:rPr>
      </w:pPr>
      <w:r w:rsidRPr="00D862E2">
        <w:rPr>
          <w:rFonts w:ascii="Arial" w:hAnsi="Arial" w:cs="Arial"/>
          <w:sz w:val="22"/>
          <w:szCs w:val="22"/>
        </w:rPr>
        <w:t xml:space="preserve">1. Selection of Firms – DMAG surveyed the services and firms providing mobile money-to-mobile money transfers. These firms represent the companies that are currently understood to be offering outbound cross-border mobile money </w:t>
      </w:r>
      <w:r w:rsidR="0004094C">
        <w:rPr>
          <w:rFonts w:ascii="Arial" w:hAnsi="Arial" w:cs="Arial"/>
          <w:sz w:val="22"/>
          <w:szCs w:val="22"/>
        </w:rPr>
        <w:t>account</w:t>
      </w:r>
      <w:r w:rsidRPr="00D862E2">
        <w:rPr>
          <w:rFonts w:ascii="Arial" w:hAnsi="Arial" w:cs="Arial"/>
          <w:sz w:val="22"/>
          <w:szCs w:val="22"/>
        </w:rPr>
        <w:t>-to-</w:t>
      </w:r>
      <w:r w:rsidR="0004094C">
        <w:rPr>
          <w:rFonts w:ascii="Arial" w:hAnsi="Arial" w:cs="Arial"/>
          <w:sz w:val="22"/>
          <w:szCs w:val="22"/>
        </w:rPr>
        <w:t>account</w:t>
      </w:r>
      <w:r w:rsidRPr="00D862E2">
        <w:rPr>
          <w:rFonts w:ascii="Arial" w:hAnsi="Arial" w:cs="Arial"/>
          <w:sz w:val="22"/>
          <w:szCs w:val="22"/>
        </w:rPr>
        <w:t xml:space="preserve"> services.</w:t>
      </w:r>
    </w:p>
    <w:p w14:paraId="57D9EBFA" w14:textId="0FB3D6D7" w:rsidR="00037669" w:rsidRPr="00D862E2" w:rsidRDefault="00037669" w:rsidP="00E45FB7">
      <w:pPr>
        <w:pStyle w:val="NormalWeb"/>
        <w:jc w:val="both"/>
        <w:rPr>
          <w:rFonts w:ascii="Arial" w:hAnsi="Arial" w:cs="Arial"/>
          <w:sz w:val="22"/>
          <w:szCs w:val="22"/>
        </w:rPr>
      </w:pPr>
      <w:r w:rsidRPr="00D862E2">
        <w:rPr>
          <w:rFonts w:ascii="Arial" w:hAnsi="Arial" w:cs="Arial"/>
          <w:sz w:val="22"/>
          <w:szCs w:val="22"/>
        </w:rPr>
        <w:t>2. Amounts surveyed –</w:t>
      </w:r>
      <w:r w:rsidR="002C3A8A">
        <w:rPr>
          <w:rFonts w:ascii="Arial" w:hAnsi="Arial" w:cs="Arial"/>
          <w:sz w:val="22"/>
          <w:szCs w:val="22"/>
        </w:rPr>
        <w:t xml:space="preserve"> </w:t>
      </w:r>
      <w:r w:rsidRPr="00D862E2">
        <w:rPr>
          <w:rFonts w:ascii="Arial" w:hAnsi="Arial" w:cs="Arial"/>
          <w:sz w:val="22"/>
          <w:szCs w:val="22"/>
        </w:rPr>
        <w:t>For this survey</w:t>
      </w:r>
      <w:r w:rsidR="007C4D92">
        <w:rPr>
          <w:rFonts w:ascii="Arial" w:hAnsi="Arial" w:cs="Arial"/>
          <w:sz w:val="22"/>
          <w:szCs w:val="22"/>
        </w:rPr>
        <w:t>,</w:t>
      </w:r>
      <w:r w:rsidRPr="00D862E2">
        <w:rPr>
          <w:rFonts w:ascii="Arial" w:hAnsi="Arial" w:cs="Arial"/>
          <w:sz w:val="22"/>
          <w:szCs w:val="22"/>
        </w:rPr>
        <w:t xml:space="preserve"> three price points per service, US$50, US$100 and US$200 were surveyed for each provider, making three price points per provider per corridor. The price points reflect the lower transaction amounts that are generally seen with </w:t>
      </w:r>
      <w:r w:rsidR="007C4D92">
        <w:rPr>
          <w:rFonts w:ascii="Arial" w:hAnsi="Arial" w:cs="Arial"/>
          <w:sz w:val="22"/>
          <w:szCs w:val="22"/>
        </w:rPr>
        <w:t>mobile</w:t>
      </w:r>
      <w:r w:rsidR="00786F4D">
        <w:rPr>
          <w:rFonts w:ascii="Arial" w:hAnsi="Arial" w:cs="Arial"/>
          <w:sz w:val="22"/>
          <w:szCs w:val="22"/>
        </w:rPr>
        <w:t xml:space="preserve"> money</w:t>
      </w:r>
      <w:r w:rsidR="007C4D92">
        <w:rPr>
          <w:rFonts w:ascii="Arial" w:hAnsi="Arial" w:cs="Arial"/>
          <w:sz w:val="22"/>
          <w:szCs w:val="22"/>
        </w:rPr>
        <w:t>-based</w:t>
      </w:r>
      <w:r w:rsidRPr="00D862E2">
        <w:rPr>
          <w:rFonts w:ascii="Arial" w:hAnsi="Arial" w:cs="Arial"/>
          <w:sz w:val="22"/>
          <w:szCs w:val="22"/>
        </w:rPr>
        <w:t xml:space="preserve"> </w:t>
      </w:r>
      <w:r w:rsidR="004F681D">
        <w:rPr>
          <w:rFonts w:ascii="Arial" w:hAnsi="Arial" w:cs="Arial"/>
          <w:sz w:val="22"/>
          <w:szCs w:val="22"/>
        </w:rPr>
        <w:t xml:space="preserve">international remittance </w:t>
      </w:r>
      <w:r w:rsidRPr="00D862E2">
        <w:rPr>
          <w:rFonts w:ascii="Arial" w:hAnsi="Arial" w:cs="Arial"/>
          <w:sz w:val="22"/>
          <w:szCs w:val="22"/>
        </w:rPr>
        <w:t>transactions whilst allowing comparison with the core R</w:t>
      </w:r>
      <w:r w:rsidR="002C3A8A">
        <w:rPr>
          <w:rFonts w:ascii="Arial" w:hAnsi="Arial" w:cs="Arial"/>
          <w:sz w:val="22"/>
          <w:szCs w:val="22"/>
        </w:rPr>
        <w:t xml:space="preserve">emittance </w:t>
      </w:r>
      <w:r w:rsidRPr="00D862E2">
        <w:rPr>
          <w:rFonts w:ascii="Arial" w:hAnsi="Arial" w:cs="Arial"/>
          <w:sz w:val="22"/>
          <w:szCs w:val="22"/>
        </w:rPr>
        <w:t>P</w:t>
      </w:r>
      <w:r w:rsidR="002C3A8A">
        <w:rPr>
          <w:rFonts w:ascii="Arial" w:hAnsi="Arial" w:cs="Arial"/>
          <w:sz w:val="22"/>
          <w:szCs w:val="22"/>
        </w:rPr>
        <w:t xml:space="preserve">rices </w:t>
      </w:r>
      <w:r w:rsidRPr="00D862E2">
        <w:rPr>
          <w:rFonts w:ascii="Arial" w:hAnsi="Arial" w:cs="Arial"/>
          <w:sz w:val="22"/>
          <w:szCs w:val="22"/>
        </w:rPr>
        <w:t>W</w:t>
      </w:r>
      <w:r w:rsidR="002C3A8A">
        <w:rPr>
          <w:rFonts w:ascii="Arial" w:hAnsi="Arial" w:cs="Arial"/>
          <w:sz w:val="22"/>
          <w:szCs w:val="22"/>
        </w:rPr>
        <w:t>orldwide</w:t>
      </w:r>
      <w:r w:rsidRPr="00D862E2">
        <w:rPr>
          <w:rFonts w:ascii="Arial" w:hAnsi="Arial" w:cs="Arial"/>
          <w:sz w:val="22"/>
          <w:szCs w:val="22"/>
        </w:rPr>
        <w:t xml:space="preserve"> price point of US$200. </w:t>
      </w:r>
    </w:p>
    <w:p w14:paraId="5E3EACF6" w14:textId="27D151E0" w:rsidR="00037669" w:rsidRPr="00D862E2" w:rsidRDefault="00037669" w:rsidP="00E45FB7">
      <w:pPr>
        <w:pStyle w:val="NormalWeb"/>
        <w:jc w:val="both"/>
        <w:rPr>
          <w:rFonts w:ascii="Arial" w:hAnsi="Arial" w:cs="Arial"/>
          <w:sz w:val="22"/>
          <w:szCs w:val="22"/>
        </w:rPr>
      </w:pPr>
      <w:r w:rsidRPr="00D862E2">
        <w:rPr>
          <w:rFonts w:ascii="Arial" w:hAnsi="Arial" w:cs="Arial"/>
          <w:sz w:val="22"/>
          <w:szCs w:val="22"/>
        </w:rPr>
        <w:t xml:space="preserve">3. </w:t>
      </w:r>
      <w:r w:rsidR="002C3A8A">
        <w:rPr>
          <w:rFonts w:ascii="Arial" w:hAnsi="Arial" w:cs="Arial"/>
          <w:sz w:val="22"/>
          <w:szCs w:val="22"/>
        </w:rPr>
        <w:t xml:space="preserve">Sending </w:t>
      </w:r>
      <w:r w:rsidRPr="00D862E2">
        <w:rPr>
          <w:rFonts w:ascii="Arial" w:hAnsi="Arial" w:cs="Arial"/>
          <w:sz w:val="22"/>
          <w:szCs w:val="22"/>
        </w:rPr>
        <w:t>M</w:t>
      </w:r>
      <w:r w:rsidR="002C3A8A">
        <w:rPr>
          <w:rFonts w:ascii="Arial" w:hAnsi="Arial" w:cs="Arial"/>
          <w:sz w:val="22"/>
          <w:szCs w:val="22"/>
        </w:rPr>
        <w:t>NO (Mobile Network Operator)</w:t>
      </w:r>
      <w:r w:rsidRPr="00D862E2">
        <w:rPr>
          <w:rFonts w:ascii="Arial" w:hAnsi="Arial" w:cs="Arial"/>
          <w:sz w:val="22"/>
          <w:szCs w:val="22"/>
        </w:rPr>
        <w:t xml:space="preserve"> </w:t>
      </w:r>
      <w:r w:rsidR="002C3A8A">
        <w:rPr>
          <w:rFonts w:ascii="Arial" w:hAnsi="Arial" w:cs="Arial"/>
          <w:sz w:val="22"/>
          <w:szCs w:val="22"/>
        </w:rPr>
        <w:t>name</w:t>
      </w:r>
      <w:r w:rsidRPr="00D862E2">
        <w:rPr>
          <w:rFonts w:ascii="Arial" w:hAnsi="Arial" w:cs="Arial"/>
          <w:sz w:val="22"/>
          <w:szCs w:val="22"/>
        </w:rPr>
        <w:t xml:space="preserve"> – This field denotes the </w:t>
      </w:r>
      <w:r w:rsidR="007C4D92">
        <w:rPr>
          <w:rFonts w:ascii="Arial" w:hAnsi="Arial" w:cs="Arial"/>
          <w:sz w:val="22"/>
          <w:szCs w:val="22"/>
        </w:rPr>
        <w:t>operator's name</w:t>
      </w:r>
      <w:r w:rsidR="002C3A8A">
        <w:rPr>
          <w:rFonts w:ascii="Arial" w:hAnsi="Arial" w:cs="Arial"/>
          <w:sz w:val="22"/>
          <w:szCs w:val="22"/>
        </w:rPr>
        <w:t xml:space="preserve"> that the money was sent through. For all transactions</w:t>
      </w:r>
      <w:r w:rsidR="007C4D92">
        <w:rPr>
          <w:rFonts w:ascii="Arial" w:hAnsi="Arial" w:cs="Arial"/>
          <w:sz w:val="22"/>
          <w:szCs w:val="22"/>
        </w:rPr>
        <w:t xml:space="preserve">, the phone was the method used to access the service, and a mobile </w:t>
      </w:r>
      <w:r w:rsidR="00547489">
        <w:rPr>
          <w:rFonts w:ascii="Arial" w:hAnsi="Arial" w:cs="Arial"/>
          <w:sz w:val="22"/>
          <w:szCs w:val="22"/>
        </w:rPr>
        <w:t>money account</w:t>
      </w:r>
      <w:r w:rsidR="007C4D92">
        <w:rPr>
          <w:rFonts w:ascii="Arial" w:hAnsi="Arial" w:cs="Arial"/>
          <w:sz w:val="22"/>
          <w:szCs w:val="22"/>
        </w:rPr>
        <w:t xml:space="preserve"> was the instrument </w:t>
      </w:r>
      <w:r w:rsidR="002C3A8A">
        <w:rPr>
          <w:rFonts w:ascii="Arial" w:hAnsi="Arial" w:cs="Arial"/>
          <w:sz w:val="22"/>
          <w:szCs w:val="22"/>
        </w:rPr>
        <w:t xml:space="preserve">used to pay for the transaction. </w:t>
      </w:r>
    </w:p>
    <w:p w14:paraId="257E3CB9" w14:textId="22BAF700" w:rsidR="00037669" w:rsidRPr="00D862E2" w:rsidRDefault="00037669" w:rsidP="00E45FB7">
      <w:pPr>
        <w:pStyle w:val="NormalWeb"/>
        <w:jc w:val="both"/>
        <w:rPr>
          <w:rFonts w:ascii="Arial" w:hAnsi="Arial" w:cs="Arial"/>
          <w:sz w:val="22"/>
          <w:szCs w:val="22"/>
        </w:rPr>
      </w:pPr>
      <w:r w:rsidRPr="00D862E2">
        <w:rPr>
          <w:rFonts w:ascii="Arial" w:hAnsi="Arial" w:cs="Arial"/>
          <w:sz w:val="22"/>
          <w:szCs w:val="22"/>
        </w:rPr>
        <w:lastRenderedPageBreak/>
        <w:t xml:space="preserve">4. Fee charged to the sender – The initial fee charged at the </w:t>
      </w:r>
      <w:r w:rsidR="007C4D92">
        <w:rPr>
          <w:rFonts w:ascii="Arial" w:hAnsi="Arial" w:cs="Arial"/>
          <w:sz w:val="22"/>
          <w:szCs w:val="22"/>
        </w:rPr>
        <w:t>sending</w:t>
      </w:r>
      <w:r w:rsidRPr="00D862E2">
        <w:rPr>
          <w:rFonts w:ascii="Arial" w:hAnsi="Arial" w:cs="Arial"/>
          <w:sz w:val="22"/>
          <w:szCs w:val="22"/>
        </w:rPr>
        <w:t xml:space="preserve"> end (excluding foreign exchange margins). Any </w:t>
      </w:r>
      <w:r w:rsidR="007C4D92">
        <w:rPr>
          <w:rFonts w:ascii="Arial" w:hAnsi="Arial" w:cs="Arial"/>
          <w:sz w:val="22"/>
          <w:szCs w:val="22"/>
        </w:rPr>
        <w:t>cash-out</w:t>
      </w:r>
      <w:r w:rsidRPr="00D862E2">
        <w:rPr>
          <w:rFonts w:ascii="Arial" w:hAnsi="Arial" w:cs="Arial"/>
          <w:sz w:val="22"/>
          <w:szCs w:val="22"/>
        </w:rPr>
        <w:t xml:space="preserve"> fees recorded were noted in the ‘</w:t>
      </w:r>
      <w:r w:rsidR="007C4D92">
        <w:rPr>
          <w:rFonts w:ascii="Arial" w:hAnsi="Arial" w:cs="Arial"/>
          <w:sz w:val="22"/>
          <w:szCs w:val="22"/>
        </w:rPr>
        <w:t>cash-out</w:t>
      </w:r>
      <w:r w:rsidRPr="00D862E2">
        <w:rPr>
          <w:rFonts w:ascii="Arial" w:hAnsi="Arial" w:cs="Arial"/>
          <w:sz w:val="22"/>
          <w:szCs w:val="22"/>
        </w:rPr>
        <w:t xml:space="preserve"> fees’ field for reference but were not included in the total cost except where explicitly mentioned. </w:t>
      </w:r>
    </w:p>
    <w:p w14:paraId="76EC5980" w14:textId="39776454" w:rsidR="00037669" w:rsidRPr="00D862E2" w:rsidRDefault="00037669" w:rsidP="00E45FB7">
      <w:pPr>
        <w:pStyle w:val="NormalWeb"/>
        <w:jc w:val="both"/>
        <w:rPr>
          <w:rFonts w:ascii="Arial" w:hAnsi="Arial" w:cs="Arial"/>
          <w:sz w:val="22"/>
          <w:szCs w:val="22"/>
        </w:rPr>
      </w:pPr>
      <w:r w:rsidRPr="00D862E2">
        <w:rPr>
          <w:rFonts w:ascii="Arial" w:hAnsi="Arial" w:cs="Arial"/>
          <w:sz w:val="22"/>
          <w:szCs w:val="22"/>
        </w:rPr>
        <w:t xml:space="preserve">5. Exchange rate applied – The exchange rate that </w:t>
      </w:r>
      <w:r w:rsidR="007C4D92">
        <w:rPr>
          <w:rFonts w:ascii="Arial" w:hAnsi="Arial" w:cs="Arial"/>
          <w:sz w:val="22"/>
          <w:szCs w:val="22"/>
        </w:rPr>
        <w:t>the relevant MM provider offered</w:t>
      </w:r>
      <w:r w:rsidRPr="00D862E2">
        <w:rPr>
          <w:rFonts w:ascii="Arial" w:hAnsi="Arial" w:cs="Arial"/>
          <w:sz w:val="22"/>
          <w:szCs w:val="22"/>
        </w:rPr>
        <w:t xml:space="preserve"> was collected and measured against the collection day’s interbank exchange rate (gathered at www.xe.com) for the relevant send and receive currencies to produce </w:t>
      </w:r>
      <w:r w:rsidR="007C4D92">
        <w:rPr>
          <w:rFonts w:ascii="Arial" w:hAnsi="Arial" w:cs="Arial"/>
          <w:sz w:val="22"/>
          <w:szCs w:val="22"/>
        </w:rPr>
        <w:t>a</w:t>
      </w:r>
      <w:r w:rsidRPr="00D862E2">
        <w:rPr>
          <w:rFonts w:ascii="Arial" w:hAnsi="Arial" w:cs="Arial"/>
          <w:sz w:val="22"/>
          <w:szCs w:val="22"/>
        </w:rPr>
        <w:t xml:space="preserve"> foreign exchange cost margin. Where exchange rates were unobtainable without a valid reason, the issue was flagged</w:t>
      </w:r>
      <w:r w:rsidR="007C4D92">
        <w:rPr>
          <w:rFonts w:ascii="Arial" w:hAnsi="Arial" w:cs="Arial"/>
          <w:sz w:val="22"/>
          <w:szCs w:val="22"/>
        </w:rPr>
        <w:t>,</w:t>
      </w:r>
      <w:r w:rsidRPr="00D862E2">
        <w:rPr>
          <w:rFonts w:ascii="Arial" w:hAnsi="Arial" w:cs="Arial"/>
          <w:sz w:val="22"/>
          <w:szCs w:val="22"/>
        </w:rPr>
        <w:t xml:space="preserve"> and the </w:t>
      </w:r>
      <w:r w:rsidR="002D4E17">
        <w:rPr>
          <w:rFonts w:ascii="Arial" w:hAnsi="Arial" w:cs="Arial"/>
          <w:sz w:val="22"/>
          <w:szCs w:val="22"/>
        </w:rPr>
        <w:t>provider</w:t>
      </w:r>
      <w:r w:rsidRPr="00D862E2">
        <w:rPr>
          <w:rFonts w:ascii="Arial" w:hAnsi="Arial" w:cs="Arial"/>
          <w:sz w:val="22"/>
          <w:szCs w:val="22"/>
        </w:rPr>
        <w:t xml:space="preserve"> </w:t>
      </w:r>
      <w:r w:rsidR="007C4D92">
        <w:rPr>
          <w:rFonts w:ascii="Arial" w:hAnsi="Arial" w:cs="Arial"/>
          <w:sz w:val="22"/>
          <w:szCs w:val="22"/>
        </w:rPr>
        <w:t>was</w:t>
      </w:r>
      <w:r w:rsidRPr="00D862E2">
        <w:rPr>
          <w:rFonts w:ascii="Arial" w:hAnsi="Arial" w:cs="Arial"/>
          <w:sz w:val="22"/>
          <w:szCs w:val="22"/>
        </w:rPr>
        <w:t xml:space="preserve"> listed as non-transparent. In Europe and the US</w:t>
      </w:r>
      <w:r w:rsidR="007C4D92">
        <w:rPr>
          <w:rFonts w:ascii="Arial" w:hAnsi="Arial" w:cs="Arial"/>
          <w:sz w:val="22"/>
          <w:szCs w:val="22"/>
        </w:rPr>
        <w:t>,</w:t>
      </w:r>
      <w:r w:rsidRPr="00D862E2">
        <w:rPr>
          <w:rFonts w:ascii="Arial" w:hAnsi="Arial" w:cs="Arial"/>
          <w:sz w:val="22"/>
          <w:szCs w:val="22"/>
        </w:rPr>
        <w:t xml:space="preserve"> it is a legal requirement to provide the foreign exchange rate or the amount to be received </w:t>
      </w:r>
      <w:r w:rsidR="007C4D92">
        <w:rPr>
          <w:rFonts w:ascii="Arial" w:hAnsi="Arial" w:cs="Arial"/>
          <w:sz w:val="22"/>
          <w:szCs w:val="22"/>
        </w:rPr>
        <w:t>before</w:t>
      </w:r>
      <w:r w:rsidRPr="00D862E2">
        <w:rPr>
          <w:rFonts w:ascii="Arial" w:hAnsi="Arial" w:cs="Arial"/>
          <w:sz w:val="22"/>
          <w:szCs w:val="22"/>
        </w:rPr>
        <w:t xml:space="preserve"> completing the transaction. In other parts of the world</w:t>
      </w:r>
      <w:r w:rsidR="007C4D92">
        <w:rPr>
          <w:rFonts w:ascii="Arial" w:hAnsi="Arial" w:cs="Arial"/>
          <w:sz w:val="22"/>
          <w:szCs w:val="22"/>
        </w:rPr>
        <w:t>,</w:t>
      </w:r>
      <w:r w:rsidRPr="00D862E2">
        <w:rPr>
          <w:rFonts w:ascii="Arial" w:hAnsi="Arial" w:cs="Arial"/>
          <w:sz w:val="22"/>
          <w:szCs w:val="22"/>
        </w:rPr>
        <w:t xml:space="preserve"> this is not the case. For example, in many African countries</w:t>
      </w:r>
      <w:r w:rsidR="007C4D92">
        <w:rPr>
          <w:rFonts w:ascii="Arial" w:hAnsi="Arial" w:cs="Arial"/>
          <w:sz w:val="22"/>
          <w:szCs w:val="22"/>
        </w:rPr>
        <w:t>,</w:t>
      </w:r>
      <w:r w:rsidRPr="00D862E2">
        <w:rPr>
          <w:rFonts w:ascii="Arial" w:hAnsi="Arial" w:cs="Arial"/>
          <w:sz w:val="22"/>
          <w:szCs w:val="22"/>
        </w:rPr>
        <w:t xml:space="preserve"> there is no such requirement</w:t>
      </w:r>
      <w:r w:rsidR="007C4D92">
        <w:rPr>
          <w:rFonts w:ascii="Arial" w:hAnsi="Arial" w:cs="Arial"/>
          <w:sz w:val="22"/>
          <w:szCs w:val="22"/>
        </w:rPr>
        <w:t>,</w:t>
      </w:r>
      <w:r w:rsidRPr="00D862E2">
        <w:rPr>
          <w:rFonts w:ascii="Arial" w:hAnsi="Arial" w:cs="Arial"/>
          <w:sz w:val="22"/>
          <w:szCs w:val="22"/>
        </w:rPr>
        <w:t xml:space="preserve"> and operators use a variety of approaches </w:t>
      </w:r>
      <w:r w:rsidR="007C4D92">
        <w:rPr>
          <w:rFonts w:ascii="Arial" w:hAnsi="Arial" w:cs="Arial"/>
          <w:sz w:val="22"/>
          <w:szCs w:val="22"/>
        </w:rPr>
        <w:t>to</w:t>
      </w:r>
      <w:r w:rsidRPr="00D862E2">
        <w:rPr>
          <w:rFonts w:ascii="Arial" w:hAnsi="Arial" w:cs="Arial"/>
          <w:sz w:val="22"/>
          <w:szCs w:val="22"/>
        </w:rPr>
        <w:t xml:space="preserve"> providing information. In many cases</w:t>
      </w:r>
      <w:r w:rsidR="007C4D92">
        <w:rPr>
          <w:rFonts w:ascii="Arial" w:hAnsi="Arial" w:cs="Arial"/>
          <w:sz w:val="22"/>
          <w:szCs w:val="22"/>
        </w:rPr>
        <w:t>,</w:t>
      </w:r>
      <w:r w:rsidRPr="00D862E2">
        <w:rPr>
          <w:rFonts w:ascii="Arial" w:hAnsi="Arial" w:cs="Arial"/>
          <w:sz w:val="22"/>
          <w:szCs w:val="22"/>
        </w:rPr>
        <w:t xml:space="preserve"> it was only possible to obtain the information on the exchange rate by attempting to complete a transaction – for mobile</w:t>
      </w:r>
      <w:r w:rsidR="003D4ADF">
        <w:rPr>
          <w:rFonts w:ascii="Arial" w:hAnsi="Arial" w:cs="Arial"/>
          <w:sz w:val="22"/>
          <w:szCs w:val="22"/>
        </w:rPr>
        <w:t xml:space="preserve"> money provider</w:t>
      </w:r>
      <w:r w:rsidRPr="00D862E2">
        <w:rPr>
          <w:rFonts w:ascii="Arial" w:hAnsi="Arial" w:cs="Arial"/>
          <w:sz w:val="22"/>
          <w:szCs w:val="22"/>
        </w:rPr>
        <w:t>s</w:t>
      </w:r>
      <w:r w:rsidR="007C4D92">
        <w:rPr>
          <w:rFonts w:ascii="Arial" w:hAnsi="Arial" w:cs="Arial"/>
          <w:sz w:val="22"/>
          <w:szCs w:val="22"/>
        </w:rPr>
        <w:t>,</w:t>
      </w:r>
      <w:r w:rsidRPr="00D862E2">
        <w:rPr>
          <w:rFonts w:ascii="Arial" w:hAnsi="Arial" w:cs="Arial"/>
          <w:sz w:val="22"/>
          <w:szCs w:val="22"/>
        </w:rPr>
        <w:t xml:space="preserve"> this meant that one could only get the rate if you were a mobile money account holder, and even then</w:t>
      </w:r>
      <w:r w:rsidR="007C4D92">
        <w:rPr>
          <w:rFonts w:ascii="Arial" w:hAnsi="Arial" w:cs="Arial"/>
          <w:sz w:val="22"/>
          <w:szCs w:val="22"/>
        </w:rPr>
        <w:t>,</w:t>
      </w:r>
      <w:r w:rsidRPr="00D862E2">
        <w:rPr>
          <w:rFonts w:ascii="Arial" w:hAnsi="Arial" w:cs="Arial"/>
          <w:sz w:val="22"/>
          <w:szCs w:val="22"/>
        </w:rPr>
        <w:t xml:space="preserve"> </w:t>
      </w:r>
      <w:r w:rsidR="002C3A8A">
        <w:rPr>
          <w:rFonts w:ascii="Arial" w:hAnsi="Arial" w:cs="Arial"/>
          <w:sz w:val="22"/>
          <w:szCs w:val="22"/>
        </w:rPr>
        <w:t>it was</w:t>
      </w:r>
      <w:r w:rsidRPr="00D862E2">
        <w:rPr>
          <w:rFonts w:ascii="Arial" w:hAnsi="Arial" w:cs="Arial"/>
          <w:sz w:val="22"/>
          <w:szCs w:val="22"/>
        </w:rPr>
        <w:t xml:space="preserve"> discovered through</w:t>
      </w:r>
      <w:r w:rsidR="002C3A8A">
        <w:rPr>
          <w:rFonts w:ascii="Arial" w:hAnsi="Arial" w:cs="Arial"/>
          <w:sz w:val="22"/>
          <w:szCs w:val="22"/>
        </w:rPr>
        <w:t xml:space="preserve"> </w:t>
      </w:r>
      <w:r w:rsidRPr="00D862E2">
        <w:rPr>
          <w:rFonts w:ascii="Arial" w:hAnsi="Arial" w:cs="Arial"/>
          <w:sz w:val="22"/>
          <w:szCs w:val="22"/>
        </w:rPr>
        <w:t xml:space="preserve">the survey </w:t>
      </w:r>
      <w:r w:rsidR="002C3A8A">
        <w:rPr>
          <w:rFonts w:ascii="Arial" w:hAnsi="Arial" w:cs="Arial"/>
          <w:sz w:val="22"/>
          <w:szCs w:val="22"/>
        </w:rPr>
        <w:t xml:space="preserve">that </w:t>
      </w:r>
      <w:r w:rsidRPr="00D862E2">
        <w:rPr>
          <w:rFonts w:ascii="Arial" w:hAnsi="Arial" w:cs="Arial"/>
          <w:sz w:val="22"/>
          <w:szCs w:val="22"/>
        </w:rPr>
        <w:t xml:space="preserve">there are times when </w:t>
      </w:r>
      <w:r w:rsidR="00BE1368">
        <w:rPr>
          <w:rFonts w:ascii="Arial" w:hAnsi="Arial" w:cs="Arial"/>
          <w:sz w:val="22"/>
          <w:szCs w:val="22"/>
        </w:rPr>
        <w:t xml:space="preserve">the information is </w:t>
      </w:r>
      <w:r w:rsidR="009A0F97">
        <w:rPr>
          <w:rFonts w:ascii="Arial" w:hAnsi="Arial" w:cs="Arial"/>
          <w:sz w:val="22"/>
          <w:szCs w:val="22"/>
        </w:rPr>
        <w:t>not</w:t>
      </w:r>
      <w:r w:rsidR="00BE1368">
        <w:rPr>
          <w:rFonts w:ascii="Arial" w:hAnsi="Arial" w:cs="Arial"/>
          <w:sz w:val="22"/>
          <w:szCs w:val="22"/>
        </w:rPr>
        <w:t xml:space="preserve"> available</w:t>
      </w:r>
      <w:r w:rsidR="003D4ADF">
        <w:rPr>
          <w:rFonts w:ascii="Arial" w:hAnsi="Arial" w:cs="Arial"/>
          <w:sz w:val="22"/>
          <w:szCs w:val="22"/>
        </w:rPr>
        <w:t xml:space="preserve"> unless asked</w:t>
      </w:r>
      <w:r w:rsidR="00BE1368">
        <w:rPr>
          <w:rFonts w:ascii="Arial" w:hAnsi="Arial" w:cs="Arial"/>
          <w:sz w:val="22"/>
          <w:szCs w:val="22"/>
        </w:rPr>
        <w:t>.</w:t>
      </w:r>
    </w:p>
    <w:p w14:paraId="64326A99" w14:textId="2A528071" w:rsidR="00037669" w:rsidRPr="00D862E2" w:rsidRDefault="00037669" w:rsidP="00E45FB7">
      <w:pPr>
        <w:pStyle w:val="NormalWeb"/>
        <w:jc w:val="both"/>
        <w:rPr>
          <w:rFonts w:ascii="Arial" w:hAnsi="Arial" w:cs="Arial"/>
          <w:sz w:val="22"/>
          <w:szCs w:val="22"/>
        </w:rPr>
      </w:pPr>
      <w:r w:rsidRPr="00D862E2">
        <w:rPr>
          <w:rFonts w:ascii="Arial" w:hAnsi="Arial" w:cs="Arial"/>
          <w:sz w:val="22"/>
          <w:szCs w:val="22"/>
        </w:rPr>
        <w:t>6. Transfer speed – DMAG used the standardised transfer speed categories of RPW (Less than one hour; Same day; Next day; 2 days; 3-5 days; 6 days or more)</w:t>
      </w:r>
      <w:r w:rsidR="00BE1368">
        <w:rPr>
          <w:rFonts w:ascii="Arial" w:hAnsi="Arial" w:cs="Arial"/>
          <w:sz w:val="22"/>
          <w:szCs w:val="22"/>
        </w:rPr>
        <w:t xml:space="preserve"> to record how long the transaction would take to be available. In all cases</w:t>
      </w:r>
      <w:r w:rsidR="007C4D92">
        <w:rPr>
          <w:rFonts w:ascii="Arial" w:hAnsi="Arial" w:cs="Arial"/>
          <w:sz w:val="22"/>
          <w:szCs w:val="22"/>
        </w:rPr>
        <w:t>,</w:t>
      </w:r>
      <w:r w:rsidR="00BE1368">
        <w:rPr>
          <w:rFonts w:ascii="Arial" w:hAnsi="Arial" w:cs="Arial"/>
          <w:sz w:val="22"/>
          <w:szCs w:val="22"/>
        </w:rPr>
        <w:t xml:space="preserve"> it was either within one hour or </w:t>
      </w:r>
      <w:r w:rsidR="007C4D92">
        <w:rPr>
          <w:rFonts w:ascii="Arial" w:hAnsi="Arial" w:cs="Arial"/>
          <w:sz w:val="22"/>
          <w:szCs w:val="22"/>
        </w:rPr>
        <w:t xml:space="preserve">the </w:t>
      </w:r>
      <w:r w:rsidR="00BE1368">
        <w:rPr>
          <w:rFonts w:ascii="Arial" w:hAnsi="Arial" w:cs="Arial"/>
          <w:sz w:val="22"/>
          <w:szCs w:val="22"/>
        </w:rPr>
        <w:t>same day for this survey</w:t>
      </w:r>
      <w:r w:rsidRPr="00D862E2">
        <w:rPr>
          <w:rFonts w:ascii="Arial" w:hAnsi="Arial" w:cs="Arial"/>
          <w:sz w:val="22"/>
          <w:szCs w:val="22"/>
        </w:rPr>
        <w:t xml:space="preserve">. </w:t>
      </w:r>
    </w:p>
    <w:p w14:paraId="7D306D62" w14:textId="7ACE33BE" w:rsidR="00037669" w:rsidRPr="00D862E2" w:rsidRDefault="00037669" w:rsidP="00E45FB7">
      <w:pPr>
        <w:pStyle w:val="NormalWeb"/>
        <w:jc w:val="both"/>
        <w:rPr>
          <w:rFonts w:ascii="Arial" w:hAnsi="Arial" w:cs="Arial"/>
          <w:sz w:val="22"/>
          <w:szCs w:val="22"/>
        </w:rPr>
      </w:pPr>
      <w:r w:rsidRPr="00D862E2">
        <w:rPr>
          <w:rFonts w:ascii="Arial" w:hAnsi="Arial" w:cs="Arial"/>
          <w:sz w:val="22"/>
          <w:szCs w:val="22"/>
        </w:rPr>
        <w:t xml:space="preserve">7. </w:t>
      </w:r>
      <w:r w:rsidR="007C4D92">
        <w:rPr>
          <w:rFonts w:ascii="Arial" w:hAnsi="Arial" w:cs="Arial"/>
          <w:sz w:val="22"/>
          <w:szCs w:val="22"/>
        </w:rPr>
        <w:t>Pick-up</w:t>
      </w:r>
      <w:r w:rsidRPr="00D862E2">
        <w:rPr>
          <w:rFonts w:ascii="Arial" w:hAnsi="Arial" w:cs="Arial"/>
          <w:sz w:val="22"/>
          <w:szCs w:val="22"/>
        </w:rPr>
        <w:t xml:space="preserve"> locations/method – Pickup locations are defined purely by the method of receiving the money, for example, </w:t>
      </w:r>
      <w:r w:rsidR="007C4D92">
        <w:rPr>
          <w:rFonts w:ascii="Arial" w:hAnsi="Arial" w:cs="Arial"/>
          <w:sz w:val="22"/>
          <w:szCs w:val="22"/>
        </w:rPr>
        <w:t xml:space="preserve">the </w:t>
      </w:r>
      <w:r w:rsidRPr="00D862E2">
        <w:rPr>
          <w:rFonts w:ascii="Arial" w:hAnsi="Arial" w:cs="Arial"/>
          <w:sz w:val="22"/>
          <w:szCs w:val="22"/>
        </w:rPr>
        <w:t xml:space="preserve">Mobile Money </w:t>
      </w:r>
      <w:r w:rsidR="009636A7">
        <w:rPr>
          <w:rFonts w:ascii="Arial" w:hAnsi="Arial" w:cs="Arial"/>
          <w:sz w:val="22"/>
          <w:szCs w:val="22"/>
        </w:rPr>
        <w:t>account</w:t>
      </w:r>
      <w:r w:rsidRPr="00D862E2">
        <w:rPr>
          <w:rFonts w:ascii="Arial" w:hAnsi="Arial" w:cs="Arial"/>
          <w:sz w:val="22"/>
          <w:szCs w:val="22"/>
        </w:rPr>
        <w:t xml:space="preserve">. </w:t>
      </w:r>
    </w:p>
    <w:p w14:paraId="45E147D4" w14:textId="494A361C" w:rsidR="00037669" w:rsidRPr="00D862E2" w:rsidRDefault="00037669" w:rsidP="00E45FB7">
      <w:pPr>
        <w:pStyle w:val="NormalWeb"/>
        <w:jc w:val="both"/>
        <w:rPr>
          <w:rFonts w:ascii="Arial" w:hAnsi="Arial" w:cs="Arial"/>
          <w:sz w:val="22"/>
          <w:szCs w:val="22"/>
        </w:rPr>
      </w:pPr>
      <w:r w:rsidRPr="00D862E2">
        <w:rPr>
          <w:rFonts w:ascii="Arial" w:hAnsi="Arial" w:cs="Arial"/>
          <w:sz w:val="22"/>
          <w:szCs w:val="22"/>
        </w:rPr>
        <w:t xml:space="preserve">8. Additional information – such as non-fee costs charged to the receiver: Data on any hidden or receiving ‘pick up’ costs where they occurred, either due to the nature of the product/service on offer or the outlet through which the funds are being received was collected. Some of these costs are particularly relevant where mobile money </w:t>
      </w:r>
      <w:r w:rsidR="00F15D84">
        <w:rPr>
          <w:rFonts w:ascii="Arial" w:hAnsi="Arial" w:cs="Arial"/>
          <w:sz w:val="22"/>
          <w:szCs w:val="22"/>
        </w:rPr>
        <w:t>account</w:t>
      </w:r>
      <w:r w:rsidR="007C4D92">
        <w:rPr>
          <w:rFonts w:ascii="Arial" w:hAnsi="Arial" w:cs="Arial"/>
          <w:sz w:val="22"/>
          <w:szCs w:val="22"/>
        </w:rPr>
        <w:t>-based</w:t>
      </w:r>
      <w:r w:rsidRPr="00D862E2">
        <w:rPr>
          <w:rFonts w:ascii="Arial" w:hAnsi="Arial" w:cs="Arial"/>
          <w:sz w:val="22"/>
          <w:szCs w:val="22"/>
        </w:rPr>
        <w:t xml:space="preserve"> payments are made and may include cash-out fees.</w:t>
      </w:r>
    </w:p>
    <w:p w14:paraId="6E8D7A56" w14:textId="77777777" w:rsidR="005D11F3" w:rsidRPr="00D862E2" w:rsidRDefault="005D11F3" w:rsidP="00E45FB7">
      <w:pPr>
        <w:jc w:val="both"/>
        <w:rPr>
          <w:rFonts w:ascii="Arial" w:hAnsi="Arial" w:cs="Arial"/>
          <w:b/>
        </w:rPr>
      </w:pPr>
    </w:p>
    <w:sectPr w:rsidR="005D11F3" w:rsidRPr="00D862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669"/>
    <w:rsid w:val="00003658"/>
    <w:rsid w:val="00021EB4"/>
    <w:rsid w:val="00037669"/>
    <w:rsid w:val="0004094C"/>
    <w:rsid w:val="000D3CD2"/>
    <w:rsid w:val="00226CD4"/>
    <w:rsid w:val="00252227"/>
    <w:rsid w:val="002A4679"/>
    <w:rsid w:val="002C3A8A"/>
    <w:rsid w:val="002D4E17"/>
    <w:rsid w:val="002D628D"/>
    <w:rsid w:val="0033524F"/>
    <w:rsid w:val="003D4ADF"/>
    <w:rsid w:val="004F681D"/>
    <w:rsid w:val="004F6B9F"/>
    <w:rsid w:val="00547489"/>
    <w:rsid w:val="005D11F3"/>
    <w:rsid w:val="00786F4D"/>
    <w:rsid w:val="007C4D92"/>
    <w:rsid w:val="009636A7"/>
    <w:rsid w:val="009A0F97"/>
    <w:rsid w:val="00BE1368"/>
    <w:rsid w:val="00D862E2"/>
    <w:rsid w:val="00E45FB7"/>
    <w:rsid w:val="00F15D84"/>
    <w:rsid w:val="00F459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58EC"/>
  <w15:chartTrackingRefBased/>
  <w15:docId w15:val="{8FE21C30-42F5-4FCC-B48D-B0AF222C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66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2D628D"/>
    <w:rPr>
      <w:color w:val="0563C1" w:themeColor="hyperlink"/>
      <w:u w:val="single"/>
    </w:rPr>
  </w:style>
  <w:style w:type="character" w:styleId="UnresolvedMention">
    <w:name w:val="Unresolved Mention"/>
    <w:basedOn w:val="DefaultParagraphFont"/>
    <w:uiPriority w:val="99"/>
    <w:semiHidden/>
    <w:unhideWhenUsed/>
    <w:rsid w:val="002D628D"/>
    <w:rPr>
      <w:color w:val="605E5C"/>
      <w:shd w:val="clear" w:color="auto" w:fill="E1DFDD"/>
    </w:rPr>
  </w:style>
  <w:style w:type="character" w:styleId="FollowedHyperlink">
    <w:name w:val="FollowedHyperlink"/>
    <w:basedOn w:val="DefaultParagraphFont"/>
    <w:uiPriority w:val="99"/>
    <w:semiHidden/>
    <w:unhideWhenUsed/>
    <w:rsid w:val="000D3C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13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maglobal.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Kingston</dc:creator>
  <cp:keywords/>
  <dc:description/>
  <cp:lastModifiedBy>Leon Isaacs</cp:lastModifiedBy>
  <cp:revision>3</cp:revision>
  <dcterms:created xsi:type="dcterms:W3CDTF">2022-12-14T07:43:00Z</dcterms:created>
  <dcterms:modified xsi:type="dcterms:W3CDTF">2022-12-14T07:49:00Z</dcterms:modified>
</cp:coreProperties>
</file>