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235B" w14:textId="77777777" w:rsidR="00944378" w:rsidRDefault="009F7BD3" w:rsidP="0019256D">
      <w:pPr>
        <w:pStyle w:val="GSMAlogo"/>
        <w:spacing w:after="1200"/>
      </w:pPr>
      <w:r>
        <w:rPr>
          <w:noProof/>
          <w:lang w:eastAsia="en-GB" w:bidi="ar-SA"/>
        </w:rPr>
        <w:drawing>
          <wp:inline distT="0" distB="0" distL="0" distR="0" wp14:anchorId="43976247" wp14:editId="3F1146BB">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20E4C351" w14:textId="77777777" w:rsidR="00A8695A" w:rsidRDefault="00A8695A" w:rsidP="00944378">
      <w:pPr>
        <w:pStyle w:val="Title"/>
      </w:pPr>
      <w:r w:rsidRPr="00577DC1">
        <w:rPr>
          <w:rFonts w:cs="Arial"/>
        </w:rPr>
        <w:t>Wi-Fi Inflight Agreement Template</w:t>
      </w:r>
      <w:r>
        <w:t xml:space="preserve"> </w:t>
      </w:r>
    </w:p>
    <w:p w14:paraId="621A14CF" w14:textId="7C53DF27" w:rsidR="00944378" w:rsidRDefault="000F6A30" w:rsidP="00944378">
      <w:pPr>
        <w:pStyle w:val="Title"/>
      </w:pPr>
      <w:r>
        <w:t xml:space="preserve">Version </w:t>
      </w:r>
      <w:r w:rsidR="00A8695A">
        <w:t>1</w:t>
      </w:r>
      <w:r w:rsidR="00C13327">
        <w:t>.</w:t>
      </w:r>
      <w:r w:rsidR="00A8695A">
        <w:t>0</w:t>
      </w:r>
    </w:p>
    <w:p w14:paraId="1D9D400A" w14:textId="4958B23A" w:rsidR="00944378" w:rsidRPr="000623D3" w:rsidRDefault="00A8695A" w:rsidP="000623D3">
      <w:pPr>
        <w:pStyle w:val="Title"/>
      </w:pPr>
      <w:r>
        <w:rPr>
          <w:rStyle w:val="PlaceholderText"/>
          <w:color w:val="auto"/>
        </w:rPr>
        <w:t>22 May 2025</w:t>
      </w:r>
    </w:p>
    <w:p w14:paraId="34AE7642" w14:textId="77777777" w:rsidR="00944378" w:rsidRDefault="00944378" w:rsidP="009968FB">
      <w:pPr>
        <w:pStyle w:val="Disclaimer"/>
      </w:pPr>
    </w:p>
    <w:p w14:paraId="23FB856A" w14:textId="3F79E88F" w:rsidR="00944378" w:rsidRPr="00B3576F" w:rsidRDefault="00944378" w:rsidP="002A7CAD">
      <w:pPr>
        <w:pStyle w:val="DocInfo"/>
        <w:rPr>
          <w:sz w:val="22"/>
        </w:rPr>
      </w:pPr>
      <w:r w:rsidRPr="00B3576F">
        <w:rPr>
          <w:sz w:val="22"/>
        </w:rPr>
        <w:t xml:space="preserve">Security Classification: </w:t>
      </w:r>
      <w:r w:rsidR="00A8695A">
        <w:rPr>
          <w:sz w:val="22"/>
        </w:rPr>
        <w:t>Non-</w:t>
      </w:r>
      <w:r w:rsidR="00147378" w:rsidRPr="00A8695A">
        <w:rPr>
          <w:sz w:val="22"/>
        </w:rPr>
        <w:t xml:space="preserve">Confidential </w:t>
      </w:r>
    </w:p>
    <w:p w14:paraId="0339F945"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621C83A9" w14:textId="77777777" w:rsidR="00944378" w:rsidRDefault="00944378" w:rsidP="00E72D86">
      <w:pPr>
        <w:pStyle w:val="DocInfo"/>
        <w:rPr>
          <w:rFonts w:eastAsia="Arial Unicode MS"/>
        </w:rPr>
      </w:pPr>
      <w:r>
        <w:t>Copyright Notice</w:t>
      </w:r>
    </w:p>
    <w:p w14:paraId="7AF3E20E" w14:textId="3ED47979"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A8695A">
        <w:rPr>
          <w:noProof/>
        </w:rPr>
        <w:t>2025</w:t>
      </w:r>
      <w:r w:rsidRPr="007A3C76">
        <w:fldChar w:fldCharType="end"/>
      </w:r>
      <w:r w:rsidRPr="007A3C76">
        <w:t xml:space="preserve"> </w:t>
      </w:r>
      <w:r>
        <w:t>GSM Association</w:t>
      </w:r>
    </w:p>
    <w:p w14:paraId="793426FF" w14:textId="77777777" w:rsidR="00397B86" w:rsidRPr="00397B86" w:rsidRDefault="00397B86" w:rsidP="00397B86">
      <w:pPr>
        <w:pStyle w:val="DocInfo"/>
        <w:spacing w:before="0"/>
      </w:pPr>
      <w:r w:rsidRPr="00397B86">
        <w:t>Disclaimer</w:t>
      </w:r>
    </w:p>
    <w:p w14:paraId="60C904D6" w14:textId="77777777" w:rsidR="00397B86" w:rsidRDefault="00397B86" w:rsidP="00E72D86">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ACB7DDB" w14:textId="77777777" w:rsidR="004A7678" w:rsidRDefault="004A7678" w:rsidP="004A7678">
      <w:pPr>
        <w:pStyle w:val="DocInfo"/>
        <w:spacing w:before="0"/>
      </w:pPr>
      <w:bookmarkStart w:id="0" w:name="RestrictedTable2"/>
      <w:bookmarkEnd w:id="0"/>
      <w:r>
        <w:t>Compliance Notice</w:t>
      </w:r>
    </w:p>
    <w:p w14:paraId="0BA7F48E" w14:textId="77777777" w:rsidR="004A7678" w:rsidRDefault="004A7678" w:rsidP="004A7678">
      <w:pPr>
        <w:pStyle w:val="CSLegal3"/>
      </w:pPr>
      <w:r>
        <w:t xml:space="preserve">The information contain herein is in full compliance with the GSMA </w:t>
      </w:r>
      <w:r w:rsidR="0019256D">
        <w:t>A</w:t>
      </w:r>
      <w:r>
        <w:t xml:space="preserve">ntitrust </w:t>
      </w:r>
      <w:r w:rsidR="0019256D">
        <w:t>C</w:t>
      </w:r>
      <w:r>
        <w:t xml:space="preserve">ompliance </w:t>
      </w:r>
      <w:r w:rsidR="0019256D">
        <w:t>P</w:t>
      </w:r>
      <w:r>
        <w:t>olicy.</w:t>
      </w:r>
    </w:p>
    <w:p w14:paraId="7EC62B6A" w14:textId="77777777" w:rsidR="004A7678" w:rsidRDefault="004A7678" w:rsidP="004A7678">
      <w:pPr>
        <w:pStyle w:val="CSLegal3"/>
      </w:pPr>
      <w:r>
        <w:t xml:space="preserve">This Permanent Reference Document has been developed and is maintained by GSMA in accordance with the provisions set out in GSMA AA.34 - </w:t>
      </w:r>
      <w:r w:rsidRPr="00F244EE">
        <w:t>Policy and Procedures for Official Documents</w:t>
      </w:r>
      <w:r>
        <w:t>.</w:t>
      </w:r>
    </w:p>
    <w:p w14:paraId="137C7427" w14:textId="77777777" w:rsidR="00944378" w:rsidRDefault="00944378" w:rsidP="00944378">
      <w:pPr>
        <w:pStyle w:val="CSLegal3"/>
      </w:pPr>
    </w:p>
    <w:p w14:paraId="22E8139A" w14:textId="7BD82FF8" w:rsidR="00944378" w:rsidRDefault="00944378" w:rsidP="00361471">
      <w:pPr>
        <w:pStyle w:val="XML"/>
      </w:pPr>
    </w:p>
    <w:p w14:paraId="3C44BEAE" w14:textId="77777777" w:rsidR="00944378" w:rsidRPr="00743705" w:rsidRDefault="00944378" w:rsidP="00417276">
      <w:pPr>
        <w:pStyle w:val="NormalParagraph"/>
        <w:sectPr w:rsidR="00944378" w:rsidRPr="00743705" w:rsidSect="00A8695A">
          <w:headerReference w:type="default" r:id="rId13"/>
          <w:footerReference w:type="default" r:id="rId14"/>
          <w:pgSz w:w="11906" w:h="16838" w:code="9"/>
          <w:pgMar w:top="1440" w:right="1440" w:bottom="1440" w:left="1440" w:header="709" w:footer="709" w:gutter="0"/>
          <w:cols w:space="720"/>
          <w:docGrid w:linePitch="360"/>
        </w:sectPr>
      </w:pPr>
    </w:p>
    <w:p w14:paraId="047B1A74" w14:textId="77777777" w:rsidR="00A8695A" w:rsidRPr="00577DC1" w:rsidRDefault="00A8695A" w:rsidP="00A8695A">
      <w:pPr>
        <w:pStyle w:val="TitleCentred"/>
        <w:rPr>
          <w:rFonts w:cs="Arial"/>
        </w:rPr>
      </w:pPr>
      <w:bookmarkStart w:id="1" w:name="_Toc209948274"/>
      <w:bookmarkStart w:id="2" w:name="_Toc327548013"/>
      <w:bookmarkStart w:id="3" w:name="_Toc327548213"/>
      <w:bookmarkStart w:id="4" w:name="_Ref329687100"/>
      <w:bookmarkStart w:id="5" w:name="_Toc130896593"/>
      <w:bookmarkStart w:id="6" w:name="_Toc327548010"/>
      <w:bookmarkStart w:id="7" w:name="_Toc327548210"/>
      <w:bookmarkStart w:id="8" w:name="_Ref329687081"/>
      <w:bookmarkStart w:id="9" w:name="_Toc268093867"/>
      <w:r w:rsidRPr="00577DC1">
        <w:rPr>
          <w:rFonts w:cs="Arial"/>
        </w:rPr>
        <w:lastRenderedPageBreak/>
        <w:t>Wi-Fi Inflight Agreement Template</w:t>
      </w:r>
    </w:p>
    <w:p w14:paraId="01B28BD1"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b/>
          <w:bCs/>
          <w:sz w:val="22"/>
          <w:szCs w:val="22"/>
        </w:rPr>
        <w:t>Between</w:t>
      </w:r>
      <w:r w:rsidRPr="00577DC1">
        <w:rPr>
          <w:rStyle w:val="eop"/>
          <w:rFonts w:ascii="Arial" w:hAnsi="Arial" w:cs="Arial"/>
          <w:sz w:val="22"/>
          <w:szCs w:val="22"/>
        </w:rPr>
        <w:t> </w:t>
      </w:r>
    </w:p>
    <w:p w14:paraId="39AA82D4"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eop"/>
          <w:rFonts w:ascii="Arial" w:hAnsi="Arial" w:cs="Arial"/>
          <w:sz w:val="22"/>
          <w:szCs w:val="22"/>
        </w:rPr>
        <w:t> </w:t>
      </w:r>
    </w:p>
    <w:p w14:paraId="5D69D7CE"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b/>
          <w:bCs/>
          <w:sz w:val="22"/>
          <w:szCs w:val="22"/>
        </w:rPr>
        <w:t>&lt;Airline&gt;</w:t>
      </w:r>
      <w:r w:rsidRPr="00577DC1">
        <w:rPr>
          <w:rStyle w:val="normaltextrun"/>
          <w:rFonts w:ascii="Arial" w:eastAsia="SimSun" w:hAnsi="Arial" w:cs="Arial"/>
          <w:sz w:val="22"/>
          <w:szCs w:val="22"/>
        </w:rPr>
        <w:t>,</w:t>
      </w:r>
      <w:r w:rsidRPr="00577DC1">
        <w:rPr>
          <w:rStyle w:val="eop"/>
          <w:rFonts w:ascii="Arial" w:hAnsi="Arial" w:cs="Arial"/>
          <w:sz w:val="22"/>
          <w:szCs w:val="22"/>
        </w:rPr>
        <w:t> </w:t>
      </w:r>
    </w:p>
    <w:p w14:paraId="4088F40B"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sz w:val="22"/>
          <w:szCs w:val="22"/>
        </w:rPr>
        <w:t> Having its registered address:</w:t>
      </w:r>
      <w:r w:rsidRPr="00577DC1">
        <w:rPr>
          <w:rStyle w:val="eop"/>
          <w:rFonts w:ascii="Arial" w:hAnsi="Arial" w:cs="Arial"/>
          <w:sz w:val="22"/>
          <w:szCs w:val="22"/>
        </w:rPr>
        <w:t> </w:t>
      </w:r>
    </w:p>
    <w:p w14:paraId="61072DA6"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eop"/>
          <w:rFonts w:ascii="Arial" w:hAnsi="Arial" w:cs="Arial"/>
          <w:sz w:val="22"/>
          <w:szCs w:val="22"/>
        </w:rPr>
        <w:t> </w:t>
      </w:r>
    </w:p>
    <w:p w14:paraId="6B6F2978"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sz w:val="22"/>
          <w:szCs w:val="22"/>
        </w:rPr>
        <w:t>.....................................................</w:t>
      </w:r>
      <w:r w:rsidRPr="00577DC1">
        <w:rPr>
          <w:rStyle w:val="scxw28808128"/>
          <w:rFonts w:ascii="Arial" w:hAnsi="Arial" w:cs="Arial"/>
          <w:sz w:val="22"/>
          <w:szCs w:val="22"/>
        </w:rPr>
        <w:t> </w:t>
      </w:r>
      <w:r w:rsidRPr="00577DC1">
        <w:rPr>
          <w:rFonts w:ascii="Arial" w:hAnsi="Arial" w:cs="Arial"/>
          <w:sz w:val="22"/>
          <w:szCs w:val="22"/>
        </w:rPr>
        <w:br/>
      </w:r>
      <w:r w:rsidRPr="00577DC1">
        <w:rPr>
          <w:rStyle w:val="normaltextrun"/>
          <w:rFonts w:ascii="Arial" w:eastAsia="SimSun" w:hAnsi="Arial" w:cs="Arial"/>
          <w:sz w:val="22"/>
          <w:szCs w:val="22"/>
        </w:rPr>
        <w:t>(Hereinafter referred to as "A")</w:t>
      </w:r>
      <w:r w:rsidRPr="00577DC1">
        <w:rPr>
          <w:rStyle w:val="eop"/>
          <w:rFonts w:ascii="Arial" w:hAnsi="Arial" w:cs="Arial"/>
          <w:sz w:val="22"/>
          <w:szCs w:val="22"/>
        </w:rPr>
        <w:t> </w:t>
      </w:r>
    </w:p>
    <w:p w14:paraId="2296DD94"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eop"/>
          <w:rFonts w:ascii="Arial" w:hAnsi="Arial" w:cs="Arial"/>
          <w:sz w:val="22"/>
          <w:szCs w:val="22"/>
        </w:rPr>
        <w:t> </w:t>
      </w:r>
    </w:p>
    <w:p w14:paraId="10BF2958"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sz w:val="22"/>
          <w:szCs w:val="22"/>
        </w:rPr>
        <w:t>And</w:t>
      </w:r>
      <w:r w:rsidRPr="00577DC1">
        <w:rPr>
          <w:rStyle w:val="eop"/>
          <w:rFonts w:ascii="Arial" w:hAnsi="Arial" w:cs="Arial"/>
          <w:sz w:val="22"/>
          <w:szCs w:val="22"/>
        </w:rPr>
        <w:t> </w:t>
      </w:r>
    </w:p>
    <w:p w14:paraId="10A1DFC0"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eop"/>
          <w:rFonts w:ascii="Arial" w:hAnsi="Arial" w:cs="Arial"/>
          <w:sz w:val="22"/>
          <w:szCs w:val="22"/>
        </w:rPr>
        <w:t> </w:t>
      </w:r>
    </w:p>
    <w:p w14:paraId="2D1186DE"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b/>
          <w:bCs/>
          <w:sz w:val="22"/>
          <w:szCs w:val="22"/>
        </w:rPr>
        <w:t>&lt;Operator&gt;</w:t>
      </w:r>
      <w:r w:rsidRPr="00577DC1">
        <w:rPr>
          <w:rStyle w:val="normaltextrun"/>
          <w:rFonts w:ascii="Arial" w:eastAsia="SimSun" w:hAnsi="Arial" w:cs="Arial"/>
          <w:sz w:val="22"/>
          <w:szCs w:val="22"/>
        </w:rPr>
        <w:t>,</w:t>
      </w:r>
      <w:r w:rsidRPr="00577DC1">
        <w:rPr>
          <w:rStyle w:val="scxw28808128"/>
          <w:rFonts w:ascii="Arial" w:hAnsi="Arial" w:cs="Arial"/>
          <w:sz w:val="22"/>
          <w:szCs w:val="22"/>
        </w:rPr>
        <w:t> </w:t>
      </w:r>
      <w:r w:rsidRPr="00577DC1">
        <w:rPr>
          <w:rFonts w:ascii="Arial" w:hAnsi="Arial" w:cs="Arial"/>
          <w:sz w:val="22"/>
          <w:szCs w:val="22"/>
        </w:rPr>
        <w:br/>
      </w:r>
      <w:r w:rsidRPr="00577DC1">
        <w:rPr>
          <w:rStyle w:val="normaltextrun"/>
          <w:rFonts w:ascii="Arial" w:eastAsia="SimSun" w:hAnsi="Arial" w:cs="Arial"/>
          <w:sz w:val="22"/>
          <w:szCs w:val="22"/>
        </w:rPr>
        <w:t>having its registered address:</w:t>
      </w:r>
      <w:r w:rsidRPr="00577DC1">
        <w:rPr>
          <w:rStyle w:val="eop"/>
          <w:rFonts w:ascii="Arial" w:hAnsi="Arial" w:cs="Arial"/>
          <w:sz w:val="22"/>
          <w:szCs w:val="22"/>
        </w:rPr>
        <w:t> </w:t>
      </w:r>
    </w:p>
    <w:p w14:paraId="146FBC62" w14:textId="77777777" w:rsidR="00A8695A" w:rsidRPr="00577DC1" w:rsidRDefault="00A8695A" w:rsidP="00A8695A">
      <w:pPr>
        <w:pStyle w:val="paragraph"/>
        <w:spacing w:before="0" w:beforeAutospacing="0" w:after="0" w:afterAutospacing="0"/>
        <w:jc w:val="both"/>
        <w:textAlignment w:val="baseline"/>
        <w:rPr>
          <w:rFonts w:ascii="Arial" w:hAnsi="Arial" w:cs="Arial"/>
          <w:sz w:val="18"/>
          <w:szCs w:val="18"/>
        </w:rPr>
      </w:pPr>
      <w:r w:rsidRPr="00577DC1">
        <w:rPr>
          <w:rStyle w:val="eop"/>
          <w:rFonts w:ascii="Arial" w:hAnsi="Arial" w:cs="Arial"/>
          <w:sz w:val="22"/>
          <w:szCs w:val="22"/>
        </w:rPr>
        <w:t> </w:t>
      </w:r>
    </w:p>
    <w:p w14:paraId="1D9AA4E4"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sz w:val="22"/>
          <w:szCs w:val="22"/>
        </w:rPr>
        <w:t>.....................................................</w:t>
      </w:r>
      <w:r w:rsidRPr="00577DC1">
        <w:rPr>
          <w:rStyle w:val="scxw28808128"/>
          <w:rFonts w:ascii="Arial" w:hAnsi="Arial" w:cs="Arial"/>
          <w:sz w:val="22"/>
          <w:szCs w:val="22"/>
        </w:rPr>
        <w:t> </w:t>
      </w:r>
      <w:r w:rsidRPr="00577DC1">
        <w:rPr>
          <w:rFonts w:ascii="Arial" w:hAnsi="Arial" w:cs="Arial"/>
          <w:sz w:val="22"/>
          <w:szCs w:val="22"/>
        </w:rPr>
        <w:br/>
      </w:r>
      <w:r w:rsidRPr="00577DC1">
        <w:rPr>
          <w:rStyle w:val="normaltextrun"/>
          <w:rFonts w:ascii="Arial" w:eastAsia="SimSun" w:hAnsi="Arial" w:cs="Arial"/>
          <w:sz w:val="22"/>
          <w:szCs w:val="22"/>
        </w:rPr>
        <w:t>(Hereinafter referred to as "B")</w:t>
      </w:r>
      <w:r w:rsidRPr="00577DC1">
        <w:rPr>
          <w:rStyle w:val="eop"/>
          <w:rFonts w:ascii="Arial" w:hAnsi="Arial" w:cs="Arial"/>
          <w:sz w:val="22"/>
          <w:szCs w:val="22"/>
        </w:rPr>
        <w:t> </w:t>
      </w:r>
    </w:p>
    <w:p w14:paraId="50B47586"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eop"/>
          <w:rFonts w:ascii="Arial" w:hAnsi="Arial" w:cs="Arial"/>
          <w:sz w:val="22"/>
          <w:szCs w:val="22"/>
        </w:rPr>
        <w:t> </w:t>
      </w:r>
    </w:p>
    <w:p w14:paraId="360D8673" w14:textId="77777777" w:rsidR="00A8695A" w:rsidRPr="00577DC1" w:rsidRDefault="00A8695A" w:rsidP="00A8695A">
      <w:pPr>
        <w:pStyle w:val="paragraph"/>
        <w:spacing w:before="0" w:beforeAutospacing="0" w:after="0" w:afterAutospacing="0"/>
        <w:jc w:val="center"/>
        <w:textAlignment w:val="baseline"/>
        <w:rPr>
          <w:rFonts w:ascii="Arial" w:hAnsi="Arial" w:cs="Arial"/>
          <w:sz w:val="18"/>
          <w:szCs w:val="18"/>
        </w:rPr>
      </w:pPr>
      <w:r w:rsidRPr="00577DC1">
        <w:rPr>
          <w:rStyle w:val="normaltextrun"/>
          <w:rFonts w:ascii="Arial" w:eastAsia="SimSun" w:hAnsi="Arial" w:cs="Arial"/>
          <w:sz w:val="22"/>
          <w:szCs w:val="22"/>
        </w:rPr>
        <w:t>(Together “The Parties” (Airline and Mobile Network Operator “MNO” or Mobile Virtual Network Operator “MVNO”))</w:t>
      </w:r>
      <w:r w:rsidRPr="00577DC1">
        <w:rPr>
          <w:rStyle w:val="eop"/>
          <w:rFonts w:ascii="Arial" w:hAnsi="Arial" w:cs="Arial"/>
          <w:sz w:val="22"/>
          <w:szCs w:val="22"/>
        </w:rPr>
        <w:t> </w:t>
      </w:r>
    </w:p>
    <w:p w14:paraId="3FEBAB6A" w14:textId="77777777" w:rsidR="00A8695A" w:rsidRPr="00577DC1" w:rsidRDefault="00A8695A" w:rsidP="00A8695A">
      <w:pPr>
        <w:pStyle w:val="paragraph"/>
        <w:spacing w:before="0" w:beforeAutospacing="0" w:after="0" w:afterAutospacing="0"/>
        <w:jc w:val="center"/>
        <w:textAlignment w:val="baseline"/>
        <w:rPr>
          <w:rFonts w:ascii="Segoe UI" w:hAnsi="Segoe UI" w:cs="Segoe UI"/>
          <w:sz w:val="18"/>
          <w:szCs w:val="18"/>
        </w:rPr>
      </w:pPr>
      <w:r w:rsidRPr="00577DC1">
        <w:rPr>
          <w:rStyle w:val="eop"/>
          <w:rFonts w:ascii="Arial" w:hAnsi="Arial" w:cs="Arial"/>
          <w:sz w:val="22"/>
          <w:szCs w:val="22"/>
        </w:rPr>
        <w:t> </w:t>
      </w:r>
    </w:p>
    <w:p w14:paraId="4F1BDFD8" w14:textId="77777777" w:rsidR="00A8695A" w:rsidRPr="00577DC1" w:rsidRDefault="00A8695A" w:rsidP="00A8695A">
      <w:pPr>
        <w:pStyle w:val="paragraph"/>
        <w:spacing w:before="0" w:beforeAutospacing="0" w:after="0" w:afterAutospacing="0"/>
        <w:jc w:val="center"/>
        <w:textAlignment w:val="baseline"/>
        <w:rPr>
          <w:rFonts w:ascii="Segoe UI" w:hAnsi="Segoe UI" w:cs="Segoe UI"/>
          <w:sz w:val="18"/>
          <w:szCs w:val="18"/>
        </w:rPr>
      </w:pPr>
      <w:r w:rsidRPr="00577DC1">
        <w:rPr>
          <w:rStyle w:val="eop"/>
          <w:rFonts w:ascii="Arial" w:hAnsi="Arial" w:cs="Arial"/>
          <w:sz w:val="22"/>
          <w:szCs w:val="22"/>
        </w:rPr>
        <w:t> </w:t>
      </w:r>
    </w:p>
    <w:p w14:paraId="7B672F3E" w14:textId="77777777" w:rsidR="00A8695A" w:rsidRPr="00577DC1" w:rsidRDefault="00A8695A" w:rsidP="00A8695A">
      <w:pPr>
        <w:pStyle w:val="NormalParagraph"/>
        <w:rPr>
          <w:lang w:eastAsia="zh-CN" w:bidi="bn-BD"/>
        </w:rPr>
      </w:pPr>
    </w:p>
    <w:p w14:paraId="408C4C31" w14:textId="77777777" w:rsidR="00A8695A" w:rsidRPr="00577DC1" w:rsidRDefault="00A8695A" w:rsidP="00A8695A">
      <w:pPr>
        <w:spacing w:before="0" w:after="160" w:line="259" w:lineRule="auto"/>
        <w:jc w:val="left"/>
        <w:rPr>
          <w:rFonts w:eastAsia="Times New Roman" w:cs="Arial"/>
          <w:b/>
          <w:bCs/>
          <w:sz w:val="28"/>
          <w:szCs w:val="32"/>
          <w:lang w:eastAsia="en-US"/>
        </w:rPr>
      </w:pPr>
      <w:bookmarkStart w:id="10" w:name="_Toc130896589"/>
      <w:bookmarkStart w:id="11" w:name="_Toc268777032"/>
      <w:r w:rsidRPr="00577DC1">
        <w:br w:type="page"/>
      </w:r>
    </w:p>
    <w:p w14:paraId="6153D894" w14:textId="77777777" w:rsidR="00A8695A" w:rsidRPr="00577DC1" w:rsidRDefault="00A8695A" w:rsidP="00A8695A">
      <w:pPr>
        <w:pStyle w:val="Legalclauselevel1"/>
      </w:pPr>
      <w:bookmarkStart w:id="12" w:name="_Toc130896590"/>
      <w:bookmarkEnd w:id="10"/>
      <w:bookmarkEnd w:id="11"/>
      <w:r w:rsidRPr="00577DC1">
        <w:t>Introduction</w:t>
      </w:r>
    </w:p>
    <w:p w14:paraId="68A88B5E" w14:textId="77777777" w:rsidR="00A8695A" w:rsidRPr="00577DC1" w:rsidRDefault="00A8695A" w:rsidP="00A8695A">
      <w:pPr>
        <w:pStyle w:val="Legalclauselevel2"/>
        <w:numPr>
          <w:ilvl w:val="1"/>
          <w:numId w:val="15"/>
        </w:numPr>
        <w:rPr>
          <w:lang w:bidi="ar-SA"/>
        </w:rPr>
      </w:pPr>
      <w:bookmarkStart w:id="13" w:name="_DV_M35"/>
      <w:bookmarkEnd w:id="13"/>
      <w:r w:rsidRPr="00577DC1">
        <w:rPr>
          <w:lang w:bidi="ar-SA"/>
        </w:rPr>
        <w:t xml:space="preserve">This Wi-Fi Inflight Agreement contains the following deviations and amendments to the </w:t>
      </w:r>
      <w:bookmarkStart w:id="14" w:name="_DV_C65"/>
      <w:r w:rsidRPr="00577DC1">
        <w:rPr>
          <w:lang w:bidi="ar-SA"/>
        </w:rPr>
        <w:t>terms set out below:</w:t>
      </w:r>
      <w:bookmarkEnd w:id="14"/>
      <w:r w:rsidRPr="00577DC1">
        <w:rPr>
          <w:lang w:bidi="ar-SA"/>
        </w:rPr>
        <w:t xml:space="preserve"> [NOTE: this Article can be used </w:t>
      </w:r>
      <w:proofErr w:type="gramStart"/>
      <w:r w:rsidRPr="00577DC1">
        <w:rPr>
          <w:lang w:bidi="ar-SA"/>
        </w:rPr>
        <w:t>in order to</w:t>
      </w:r>
      <w:proofErr w:type="gramEnd"/>
      <w:r w:rsidRPr="00577DC1">
        <w:rPr>
          <w:lang w:bidi="ar-SA"/>
        </w:rPr>
        <w:t xml:space="preserve"> list deviations. The Parties may alternatively directly amend the terms and conditions of this Agreement Template, or otherwise include deviations into a separate Exhibit attached to this Agreement]</w:t>
      </w:r>
      <w:bookmarkStart w:id="15" w:name="_DV_M37"/>
      <w:bookmarkEnd w:id="15"/>
    </w:p>
    <w:p w14:paraId="24F77AAE" w14:textId="77777777" w:rsidR="00A8695A" w:rsidRPr="00577DC1" w:rsidRDefault="00A8695A" w:rsidP="00A8695A">
      <w:pPr>
        <w:spacing w:after="120"/>
        <w:ind w:left="1418"/>
        <w:jc w:val="left"/>
        <w:rPr>
          <w:rFonts w:cs="Arial"/>
          <w:szCs w:val="24"/>
          <w:lang w:eastAsia="en-US" w:bidi="ar-SA"/>
        </w:rPr>
      </w:pPr>
      <w:r w:rsidRPr="00577DC1">
        <w:rPr>
          <w:rFonts w:cs="Arial"/>
          <w:szCs w:val="24"/>
          <w:lang w:eastAsia="en-US" w:bidi="ar-SA"/>
        </w:rPr>
        <w:t>&lt;&lt;</w:t>
      </w:r>
      <w:r w:rsidRPr="00577DC1">
        <w:rPr>
          <w:rFonts w:ascii="Courier New" w:hAnsi="Courier New" w:cs="Arial"/>
          <w:szCs w:val="24"/>
          <w:lang w:eastAsia="en-US" w:bidi="ar-SA"/>
        </w:rPr>
        <w:t>Insert text as needed</w:t>
      </w:r>
      <w:r w:rsidRPr="00577DC1">
        <w:rPr>
          <w:rFonts w:cs="Arial"/>
          <w:szCs w:val="24"/>
          <w:lang w:eastAsia="en-US" w:bidi="ar-SA"/>
        </w:rPr>
        <w:t>&gt;&gt;</w:t>
      </w:r>
      <w:r w:rsidRPr="00577DC1">
        <w:rPr>
          <w:rFonts w:cs="Arial"/>
          <w:szCs w:val="24"/>
          <w:lang w:eastAsia="en-US" w:bidi="ar-SA"/>
        </w:rPr>
        <w:br/>
        <w:t>&lt;&lt;</w:t>
      </w:r>
      <w:r w:rsidRPr="00577DC1">
        <w:rPr>
          <w:rFonts w:ascii="Courier New" w:hAnsi="Courier New" w:cs="Arial"/>
          <w:szCs w:val="24"/>
          <w:lang w:eastAsia="en-US" w:bidi="ar-SA"/>
        </w:rPr>
        <w:t>Insert text as needed</w:t>
      </w:r>
      <w:r w:rsidRPr="00577DC1">
        <w:rPr>
          <w:rFonts w:cs="Arial"/>
          <w:szCs w:val="24"/>
          <w:lang w:eastAsia="en-US" w:bidi="ar-SA"/>
        </w:rPr>
        <w:t>&gt;&gt;</w:t>
      </w:r>
      <w:r w:rsidRPr="00577DC1">
        <w:rPr>
          <w:rFonts w:cs="Arial"/>
          <w:szCs w:val="24"/>
          <w:lang w:eastAsia="en-US" w:bidi="ar-SA"/>
        </w:rPr>
        <w:br/>
        <w:t>&lt;&lt;</w:t>
      </w:r>
      <w:r w:rsidRPr="00577DC1">
        <w:rPr>
          <w:rFonts w:ascii="Courier New" w:hAnsi="Courier New" w:cs="Arial"/>
          <w:szCs w:val="24"/>
          <w:lang w:eastAsia="en-US" w:bidi="ar-SA"/>
        </w:rPr>
        <w:t>Insert text as needed</w:t>
      </w:r>
      <w:r w:rsidRPr="00577DC1">
        <w:rPr>
          <w:rFonts w:cs="Arial"/>
          <w:szCs w:val="24"/>
          <w:lang w:eastAsia="en-US" w:bidi="ar-SA"/>
        </w:rPr>
        <w:t>&gt;&gt;</w:t>
      </w:r>
    </w:p>
    <w:p w14:paraId="452A1D68" w14:textId="77777777" w:rsidR="00A8695A" w:rsidRPr="00577DC1" w:rsidRDefault="00A8695A" w:rsidP="00A8695A">
      <w:pPr>
        <w:pStyle w:val="Legalclauselevel2"/>
        <w:numPr>
          <w:ilvl w:val="1"/>
          <w:numId w:val="15"/>
        </w:numPr>
        <w:rPr>
          <w:lang w:bidi="ar-SA"/>
        </w:rPr>
      </w:pPr>
      <w:r w:rsidRPr="00577DC1">
        <w:rPr>
          <w:lang w:bidi="ar-SA"/>
        </w:rPr>
        <w:t>The Annexes, including the Overview of the Annex Structure, constitute an integral part of the Agreement.</w:t>
      </w:r>
      <w:r>
        <w:rPr>
          <w:lang w:bidi="ar-SA"/>
        </w:rPr>
        <w:t xml:space="preserve"> </w:t>
      </w:r>
      <w:r w:rsidRPr="00577DC1">
        <w:rPr>
          <w:lang w:bidi="ar-SA"/>
        </w:rPr>
        <w:t xml:space="preserve">In case of discrepancy between different parts of the Agreement the following order of interpretation shall be applied: </w:t>
      </w:r>
    </w:p>
    <w:p w14:paraId="7BB70175" w14:textId="77777777" w:rsidR="00A8695A" w:rsidRPr="00577DC1" w:rsidRDefault="00A8695A" w:rsidP="00A8695A">
      <w:pPr>
        <w:pStyle w:val="Legalclauselevel3"/>
        <w:numPr>
          <w:ilvl w:val="2"/>
          <w:numId w:val="15"/>
        </w:numPr>
      </w:pPr>
      <w:r w:rsidRPr="00577DC1">
        <w:t>The main body of this Agreement and</w:t>
      </w:r>
    </w:p>
    <w:p w14:paraId="36BFEE2D" w14:textId="77777777" w:rsidR="00A8695A" w:rsidRPr="00577DC1" w:rsidRDefault="00A8695A" w:rsidP="00A8695A">
      <w:pPr>
        <w:pStyle w:val="Legalclauselevel3"/>
        <w:numPr>
          <w:ilvl w:val="2"/>
          <w:numId w:val="15"/>
        </w:numPr>
      </w:pPr>
      <w:r w:rsidRPr="00577DC1">
        <w:t>The Annexes</w:t>
      </w:r>
    </w:p>
    <w:p w14:paraId="7C20F3CF" w14:textId="77777777" w:rsidR="00A8695A" w:rsidRPr="00577DC1" w:rsidRDefault="00A8695A" w:rsidP="00A8695A">
      <w:pPr>
        <w:pStyle w:val="Legalclauselevel2"/>
        <w:numPr>
          <w:ilvl w:val="1"/>
          <w:numId w:val="15"/>
        </w:numPr>
        <w:rPr>
          <w:lang w:bidi="ar-SA"/>
        </w:rPr>
      </w:pPr>
      <w:r w:rsidRPr="00577DC1">
        <w:rPr>
          <w:lang w:bidi="ar-SA"/>
        </w:rPr>
        <w:t>In case of additional requirements, exceptions and/or contradictions between the Agreement and any Technical Specifications or GSM Association Permanent Reference Documents, the provisions of the Agreement shall prevail.</w:t>
      </w:r>
    </w:p>
    <w:p w14:paraId="173646A3" w14:textId="77777777" w:rsidR="00A8695A" w:rsidRPr="00577DC1" w:rsidRDefault="00A8695A" w:rsidP="00A8695A">
      <w:pPr>
        <w:pStyle w:val="Legalclauselevel2"/>
        <w:numPr>
          <w:ilvl w:val="1"/>
          <w:numId w:val="15"/>
        </w:numPr>
        <w:rPr>
          <w:lang w:bidi="ar-SA"/>
        </w:rPr>
      </w:pPr>
      <w:r w:rsidRPr="00577DC1">
        <w:rPr>
          <w:lang w:bidi="ar-SA"/>
        </w:rPr>
        <w:t>Subject to applicable laws, the Parties agree to be bound by GSMA Permanent Reference documents relevant to the Wi-Fi Inflight Service.</w:t>
      </w:r>
    </w:p>
    <w:p w14:paraId="18408733" w14:textId="77777777" w:rsidR="00A8695A" w:rsidRPr="00577DC1" w:rsidRDefault="00A8695A" w:rsidP="00A8695A">
      <w:pPr>
        <w:pStyle w:val="Legalclauselevel2"/>
        <w:numPr>
          <w:ilvl w:val="1"/>
          <w:numId w:val="15"/>
        </w:numPr>
        <w:rPr>
          <w:lang w:bidi="ar-SA"/>
        </w:rPr>
      </w:pPr>
      <w:r w:rsidRPr="00577DC1">
        <w:rPr>
          <w:lang w:bidi="ar-SA"/>
        </w:rPr>
        <w:t>The Parties agree that the sole purpose of the Agreement is the provision of Wi- Fi Inflight Services to customers of &lt;B&gt; on &lt;A&gt;’s Airplanes.</w:t>
      </w:r>
      <w:r>
        <w:rPr>
          <w:lang w:bidi="ar-SA"/>
        </w:rPr>
        <w:t xml:space="preserve"> </w:t>
      </w:r>
      <w:r w:rsidRPr="00577DC1">
        <w:rPr>
          <w:lang w:bidi="ar-SA"/>
        </w:rPr>
        <w:t xml:space="preserve"> </w:t>
      </w:r>
    </w:p>
    <w:p w14:paraId="7E8F7AE7" w14:textId="77777777" w:rsidR="00A8695A" w:rsidRPr="00C9778F" w:rsidRDefault="00A8695A" w:rsidP="00A8695A">
      <w:pPr>
        <w:pStyle w:val="Legalclauselevel2"/>
        <w:numPr>
          <w:ilvl w:val="0"/>
          <w:numId w:val="0"/>
        </w:numPr>
        <w:ind w:left="1134" w:hanging="567"/>
        <w:rPr>
          <w:lang w:bidi="ar-SA"/>
        </w:rPr>
      </w:pPr>
      <w:r w:rsidRPr="00C9778F">
        <w:rPr>
          <w:lang w:bidi="ar-SA"/>
        </w:rPr>
        <w:t>1.6</w:t>
      </w:r>
      <w:r w:rsidRPr="00C9778F">
        <w:rPr>
          <w:lang w:bidi="ar-SA"/>
        </w:rPr>
        <w:tab/>
        <w:t>A breach of Clause 1.5 shall entitle the non-breaching Party to terminate this Agreement with immediate effect and claim damages, without prejudice to any other rights or remedies available at law.</w:t>
      </w:r>
    </w:p>
    <w:p w14:paraId="616AE5C7" w14:textId="77777777" w:rsidR="00A8695A" w:rsidRPr="00577DC1" w:rsidRDefault="00A8695A" w:rsidP="00A8695A">
      <w:pPr>
        <w:pStyle w:val="Legalclauselevel1"/>
        <w:rPr>
          <w:lang w:eastAsia="de-DE"/>
        </w:rPr>
      </w:pPr>
      <w:r w:rsidRPr="00577DC1">
        <w:t>Starting</w:t>
      </w:r>
      <w:r w:rsidRPr="00577DC1">
        <w:rPr>
          <w:lang w:eastAsia="de-DE"/>
        </w:rPr>
        <w:t xml:space="preserve"> Date</w:t>
      </w:r>
    </w:p>
    <w:p w14:paraId="5CFDF8DB" w14:textId="77777777" w:rsidR="00A8695A" w:rsidRPr="00577DC1" w:rsidRDefault="00A8695A" w:rsidP="00A8695A">
      <w:pPr>
        <w:pStyle w:val="Legalclauselevel2"/>
        <w:numPr>
          <w:ilvl w:val="1"/>
          <w:numId w:val="15"/>
        </w:numPr>
        <w:rPr>
          <w:lang w:bidi="ar-SA"/>
        </w:rPr>
      </w:pPr>
      <w:r w:rsidRPr="00577DC1">
        <w:rPr>
          <w:lang w:bidi="ar-SA"/>
        </w:rPr>
        <w:t xml:space="preserve">The </w:t>
      </w:r>
      <w:r w:rsidRPr="00C9778F">
        <w:rPr>
          <w:lang w:bidi="ar-SA"/>
        </w:rPr>
        <w:t xml:space="preserve">effective starting date </w:t>
      </w:r>
      <w:r>
        <w:rPr>
          <w:lang w:bidi="ar-SA"/>
        </w:rPr>
        <w:t xml:space="preserve">for </w:t>
      </w:r>
      <w:r w:rsidRPr="00577DC1">
        <w:rPr>
          <w:lang w:bidi="ar-SA"/>
        </w:rPr>
        <w:t>Wi-Fi Inflight Service shall be the date as agreed by both Parties in written form after successful completion of all necessary network and billing test procedures.</w:t>
      </w:r>
    </w:p>
    <w:p w14:paraId="1640C32D" w14:textId="77777777" w:rsidR="00A8695A" w:rsidRPr="00577DC1" w:rsidRDefault="00A8695A" w:rsidP="00A8695A">
      <w:pPr>
        <w:pStyle w:val="Legalclauselevel1"/>
        <w:rPr>
          <w:lang w:eastAsia="de-DE"/>
        </w:rPr>
      </w:pPr>
      <w:r w:rsidRPr="00577DC1">
        <w:t>Definitions</w:t>
      </w:r>
    </w:p>
    <w:p w14:paraId="4D8C521D" w14:textId="77777777" w:rsidR="00A8695A" w:rsidRPr="00577DC1" w:rsidRDefault="00A8695A" w:rsidP="00A8695A">
      <w:pPr>
        <w:pStyle w:val="Legalclauselevel2"/>
        <w:numPr>
          <w:ilvl w:val="1"/>
          <w:numId w:val="15"/>
        </w:numPr>
        <w:rPr>
          <w:lang w:bidi="ar-SA"/>
        </w:rPr>
      </w:pPr>
      <w:proofErr w:type="gramStart"/>
      <w:r w:rsidRPr="00577DC1">
        <w:rPr>
          <w:lang w:bidi="ar-SA"/>
        </w:rPr>
        <w:t>For the purpose of</w:t>
      </w:r>
      <w:proofErr w:type="gramEnd"/>
      <w:r w:rsidRPr="00577DC1">
        <w:rPr>
          <w:lang w:bidi="ar-SA"/>
        </w:rPr>
        <w:t xml:space="preserve"> the Agreement the following terms shall have the meanings set forth in their respective definitions below, unless a different meaning is called for in the context of another provision in the Agreement:</w:t>
      </w:r>
      <w:bookmarkStart w:id="16" w:name="_DV_X162"/>
      <w:bookmarkStart w:id="17" w:name="_DV_C100"/>
    </w:p>
    <w:p w14:paraId="1B37084A" w14:textId="77777777" w:rsidR="00A8695A" w:rsidRPr="00C9778F" w:rsidRDefault="00A8695A" w:rsidP="00A8695A">
      <w:pPr>
        <w:pStyle w:val="Legalclauselevel2"/>
        <w:numPr>
          <w:ilvl w:val="1"/>
          <w:numId w:val="15"/>
        </w:numPr>
        <w:rPr>
          <w:lang w:bidi="ar-SA"/>
        </w:rPr>
      </w:pPr>
      <w:r w:rsidRPr="00C9778F">
        <w:rPr>
          <w:lang w:bidi="ar-SA"/>
        </w:rPr>
        <w:t>"Affiliated Company" of a Party shall mean any other legal entity</w:t>
      </w:r>
      <w:bookmarkStart w:id="18" w:name="_DV_C101"/>
      <w:bookmarkEnd w:id="16"/>
      <w:bookmarkEnd w:id="17"/>
      <w:r w:rsidRPr="00C9778F">
        <w:rPr>
          <w:lang w:bidi="ar-SA"/>
        </w:rPr>
        <w:t>:</w:t>
      </w:r>
    </w:p>
    <w:p w14:paraId="2945CBFC" w14:textId="77777777" w:rsidR="00A8695A" w:rsidRPr="00C9778F" w:rsidRDefault="00A8695A" w:rsidP="00A8695A">
      <w:pPr>
        <w:pStyle w:val="Legalclauselevel3"/>
        <w:numPr>
          <w:ilvl w:val="2"/>
          <w:numId w:val="15"/>
        </w:numPr>
      </w:pPr>
      <w:bookmarkStart w:id="19" w:name="_DV_X164"/>
      <w:bookmarkStart w:id="20" w:name="_DV_C102"/>
      <w:bookmarkEnd w:id="18"/>
      <w:r w:rsidRPr="00C9778F">
        <w:t>directly or indirectly owning or controlling the Party, or</w:t>
      </w:r>
      <w:bookmarkStart w:id="21" w:name="_DV_C103"/>
      <w:bookmarkEnd w:id="19"/>
      <w:bookmarkEnd w:id="20"/>
    </w:p>
    <w:p w14:paraId="75AF58DC" w14:textId="77777777" w:rsidR="00A8695A" w:rsidRPr="00C9778F" w:rsidRDefault="00A8695A" w:rsidP="00A8695A">
      <w:pPr>
        <w:pStyle w:val="Legalclauselevel3"/>
        <w:numPr>
          <w:ilvl w:val="2"/>
          <w:numId w:val="15"/>
        </w:numPr>
      </w:pPr>
      <w:bookmarkStart w:id="22" w:name="_DV_X166"/>
      <w:bookmarkStart w:id="23" w:name="_DV_C104"/>
      <w:bookmarkEnd w:id="21"/>
      <w:r w:rsidRPr="00C9778F">
        <w:t>under the direct or indirect ownership or control of the same legal entity directly or indirectly owning or controlling the Party, or</w:t>
      </w:r>
      <w:bookmarkStart w:id="24" w:name="_DV_C105"/>
      <w:bookmarkEnd w:id="22"/>
      <w:bookmarkEnd w:id="23"/>
    </w:p>
    <w:p w14:paraId="62F0F9B7" w14:textId="77777777" w:rsidR="00A8695A" w:rsidRPr="00C9778F" w:rsidRDefault="00A8695A" w:rsidP="00A8695A">
      <w:pPr>
        <w:pStyle w:val="Legalclauselevel3"/>
        <w:numPr>
          <w:ilvl w:val="2"/>
          <w:numId w:val="15"/>
        </w:numPr>
      </w:pPr>
      <w:bookmarkStart w:id="25" w:name="_DV_X168"/>
      <w:bookmarkStart w:id="26" w:name="_DV_C106"/>
      <w:bookmarkEnd w:id="24"/>
      <w:r w:rsidRPr="00C9778F">
        <w:t xml:space="preserve">directly or indirectly owned or controlled by the Party, </w:t>
      </w:r>
      <w:bookmarkStart w:id="27" w:name="_DV_X169"/>
      <w:bookmarkStart w:id="28" w:name="_DV_C107"/>
      <w:bookmarkEnd w:id="25"/>
      <w:bookmarkEnd w:id="26"/>
    </w:p>
    <w:p w14:paraId="51A8BCD1" w14:textId="77777777" w:rsidR="00A8695A" w:rsidRPr="00C9778F" w:rsidRDefault="00A8695A" w:rsidP="00A8695A">
      <w:pPr>
        <w:spacing w:after="120"/>
        <w:ind w:left="1440" w:hanging="11"/>
        <w:rPr>
          <w:rFonts w:cs="Arial"/>
          <w:szCs w:val="24"/>
          <w:lang w:eastAsia="en-US" w:bidi="ar-SA"/>
        </w:rPr>
      </w:pPr>
      <w:r w:rsidRPr="00C9778F">
        <w:rPr>
          <w:rFonts w:cs="Arial"/>
          <w:szCs w:val="24"/>
          <w:lang w:eastAsia="en-US" w:bidi="ar-SA"/>
        </w:rPr>
        <w:t>for so long as such ownership or control lasts.</w:t>
      </w:r>
      <w:bookmarkStart w:id="29" w:name="_DV_X170"/>
      <w:bookmarkStart w:id="30" w:name="_DV_C108"/>
      <w:bookmarkEnd w:id="27"/>
      <w:bookmarkEnd w:id="28"/>
    </w:p>
    <w:p w14:paraId="516087E0" w14:textId="77777777" w:rsidR="00A8695A" w:rsidRPr="00C9778F" w:rsidRDefault="00A8695A" w:rsidP="00A8695A">
      <w:pPr>
        <w:spacing w:after="120"/>
        <w:ind w:left="1440" w:hanging="11"/>
        <w:rPr>
          <w:rFonts w:cs="Arial"/>
          <w:szCs w:val="24"/>
          <w:lang w:eastAsia="en-US" w:bidi="ar-SA"/>
        </w:rPr>
      </w:pPr>
      <w:r w:rsidRPr="00C9778F">
        <w:rPr>
          <w:rFonts w:cs="Arial"/>
          <w:szCs w:val="24"/>
          <w:lang w:eastAsia="en-US" w:bidi="ar-SA"/>
        </w:rPr>
        <w:t>Ownership or control shall exist through the direct or indirect ownership of more than 50 % of the nominal value of the issued equity share capital or of more than 50 % of the shares entitling the holders to vote for the election of directors or persons performing similar functions.</w:t>
      </w:r>
      <w:bookmarkEnd w:id="29"/>
      <w:bookmarkEnd w:id="30"/>
    </w:p>
    <w:p w14:paraId="7F497011" w14:textId="77777777" w:rsidR="00A8695A" w:rsidRPr="00577DC1" w:rsidRDefault="00A8695A" w:rsidP="00A8695A">
      <w:pPr>
        <w:pStyle w:val="Legalclauselevel2"/>
        <w:numPr>
          <w:ilvl w:val="1"/>
          <w:numId w:val="15"/>
        </w:numPr>
        <w:rPr>
          <w:lang w:bidi="ar-SA"/>
        </w:rPr>
      </w:pPr>
      <w:bookmarkStart w:id="31" w:name="_DV_C109"/>
      <w:r w:rsidRPr="00577DC1">
        <w:rPr>
          <w:lang w:bidi="ar-SA"/>
        </w:rPr>
        <w:t>"Agreement" shall mean this Wi-Fi Inflight Agreement together with the Annexes</w:t>
      </w:r>
      <w:bookmarkEnd w:id="31"/>
      <w:r w:rsidRPr="00577DC1">
        <w:rPr>
          <w:lang w:bidi="ar-SA"/>
        </w:rPr>
        <w:t xml:space="preserve"> attached hereto.</w:t>
      </w:r>
    </w:p>
    <w:p w14:paraId="3F5D3842" w14:textId="77777777" w:rsidR="00A8695A" w:rsidRPr="00577DC1" w:rsidRDefault="00A8695A" w:rsidP="00A8695A">
      <w:pPr>
        <w:pStyle w:val="Legalclauselevel2"/>
        <w:numPr>
          <w:ilvl w:val="1"/>
          <w:numId w:val="15"/>
        </w:numPr>
        <w:rPr>
          <w:lang w:bidi="ar-SA"/>
        </w:rPr>
      </w:pPr>
      <w:r w:rsidRPr="00577DC1">
        <w:t>“Airline”</w:t>
      </w:r>
      <w:r>
        <w:t xml:space="preserve"> shall </w:t>
      </w:r>
      <w:r w:rsidRPr="00577DC1">
        <w:t>mean the Party that offers</w:t>
      </w:r>
      <w:r>
        <w:t xml:space="preserve"> </w:t>
      </w:r>
      <w:r w:rsidRPr="00577DC1">
        <w:t>the Wi-Fi Inflight Service. The Airline is thus the Party liable for the Wi-Fi Inflight Service to the Customer of &lt;B&gt;. The Airline will specify where the Wi-Fi Inflight Service is available for example which aircraft/flights.</w:t>
      </w:r>
    </w:p>
    <w:p w14:paraId="76440E05" w14:textId="77777777" w:rsidR="00A8695A" w:rsidRPr="00577DC1" w:rsidRDefault="00A8695A" w:rsidP="00A8695A">
      <w:pPr>
        <w:pStyle w:val="Legalclauselevel2"/>
        <w:numPr>
          <w:ilvl w:val="1"/>
          <w:numId w:val="15"/>
        </w:numPr>
        <w:rPr>
          <w:lang w:bidi="ar-SA"/>
        </w:rPr>
      </w:pPr>
      <w:r w:rsidRPr="00577DC1">
        <w:t>“Authentication”</w:t>
      </w:r>
      <w:r>
        <w:t xml:space="preserve"> shall </w:t>
      </w:r>
      <w:r w:rsidRPr="00577DC1">
        <w:t>mean the process of identifying a Customer based on the Customer’s Authentication Credentials and granting access to the Wi-Fi Inflight Service.</w:t>
      </w:r>
    </w:p>
    <w:p w14:paraId="2BDAD20D" w14:textId="77777777" w:rsidR="00A8695A" w:rsidRDefault="00A8695A" w:rsidP="00A8695A">
      <w:pPr>
        <w:pStyle w:val="Legalclauselevel2"/>
        <w:numPr>
          <w:ilvl w:val="1"/>
          <w:numId w:val="15"/>
        </w:numPr>
        <w:rPr>
          <w:lang w:bidi="ar-SA"/>
        </w:rPr>
      </w:pPr>
      <w:r w:rsidRPr="00577DC1">
        <w:t>“Authentication Credentials”</w:t>
      </w:r>
      <w:r>
        <w:t xml:space="preserve"> </w:t>
      </w:r>
      <w:r w:rsidRPr="00577DC1">
        <w:t>shall mean the information used to identify and authenticate a Customer of &lt;B&gt;.</w:t>
      </w:r>
    </w:p>
    <w:p w14:paraId="04B8F67F" w14:textId="77777777" w:rsidR="00A8695A" w:rsidRPr="00577DC1" w:rsidRDefault="00A8695A" w:rsidP="00A8695A">
      <w:pPr>
        <w:pStyle w:val="Legalclauselevel2"/>
        <w:numPr>
          <w:ilvl w:val="1"/>
          <w:numId w:val="15"/>
        </w:numPr>
        <w:rPr>
          <w:lang w:bidi="ar-SA"/>
        </w:rPr>
      </w:pPr>
      <w:r w:rsidRPr="00577DC1">
        <w:rPr>
          <w:lang w:bidi="ar-SA"/>
        </w:rPr>
        <w:t>“BCE” shall mean Billing &amp; Charging Evolution as defined and described in GSM Association Permanent Reference Documents.</w:t>
      </w:r>
    </w:p>
    <w:p w14:paraId="46D51B56" w14:textId="77777777" w:rsidR="00A8695A" w:rsidRPr="00577DC1" w:rsidRDefault="00A8695A" w:rsidP="00A8695A">
      <w:pPr>
        <w:pStyle w:val="Legalclauselevel2"/>
        <w:numPr>
          <w:ilvl w:val="1"/>
          <w:numId w:val="15"/>
        </w:numPr>
        <w:rPr>
          <w:lang w:bidi="ar-SA"/>
        </w:rPr>
      </w:pPr>
      <w:r w:rsidRPr="00577DC1">
        <w:rPr>
          <w:lang w:bidi="ar-SA"/>
        </w:rPr>
        <w:t>“CDR” shall mean Call Detail Record which is a data record that logs the details of the authentication and transactions between the A and B that can be used for billing purposes.</w:t>
      </w:r>
    </w:p>
    <w:p w14:paraId="78868ABB" w14:textId="77777777" w:rsidR="00A8695A" w:rsidRPr="00577DC1" w:rsidRDefault="00A8695A" w:rsidP="00A8695A">
      <w:pPr>
        <w:pStyle w:val="Legalclauselevel2"/>
        <w:numPr>
          <w:ilvl w:val="1"/>
          <w:numId w:val="15"/>
        </w:numPr>
        <w:rPr>
          <w:lang w:bidi="ar-SA"/>
        </w:rPr>
      </w:pPr>
      <w:r w:rsidRPr="00577DC1">
        <w:rPr>
          <w:lang w:bidi="ar-SA"/>
        </w:rPr>
        <w:t>"Customer"</w:t>
      </w:r>
      <w:r>
        <w:rPr>
          <w:lang w:bidi="ar-SA"/>
        </w:rPr>
        <w:t xml:space="preserve"> </w:t>
      </w:r>
      <w:r w:rsidRPr="00577DC1">
        <w:rPr>
          <w:lang w:bidi="ar-SA"/>
        </w:rPr>
        <w:t>shall mean a person or entity with a valid legal relationship</w:t>
      </w:r>
      <w:r>
        <w:rPr>
          <w:lang w:bidi="ar-SA"/>
        </w:rPr>
        <w:t xml:space="preserve"> </w:t>
      </w:r>
      <w:r w:rsidRPr="00577DC1">
        <w:rPr>
          <w:lang w:bidi="ar-SA"/>
        </w:rPr>
        <w:t xml:space="preserve">with &lt;B&gt;. </w:t>
      </w:r>
    </w:p>
    <w:p w14:paraId="5C8515A1" w14:textId="77777777" w:rsidR="00A8695A" w:rsidRDefault="00A8695A" w:rsidP="00A8695A">
      <w:pPr>
        <w:pStyle w:val="Legalclauselevel2"/>
        <w:numPr>
          <w:ilvl w:val="1"/>
          <w:numId w:val="15"/>
        </w:numPr>
        <w:rPr>
          <w:lang w:bidi="ar-SA"/>
        </w:rPr>
      </w:pPr>
      <w:r w:rsidRPr="00577DC1">
        <w:rPr>
          <w:lang w:bidi="ar-SA"/>
        </w:rPr>
        <w:t>"Date of the Agreement" shall mean the date as of which both Parties have signed the Agreement by their duly authorized representatives.</w:t>
      </w:r>
    </w:p>
    <w:p w14:paraId="789B9854" w14:textId="77777777" w:rsidR="00A8695A" w:rsidRPr="00577DC1" w:rsidRDefault="00A8695A" w:rsidP="00A8695A">
      <w:pPr>
        <w:pStyle w:val="Legalclauselevel2"/>
        <w:numPr>
          <w:ilvl w:val="1"/>
          <w:numId w:val="15"/>
        </w:numPr>
        <w:rPr>
          <w:lang w:bidi="ar-SA"/>
        </w:rPr>
      </w:pPr>
      <w:r w:rsidRPr="00577DC1">
        <w:t>“Device”</w:t>
      </w:r>
      <w:r>
        <w:t xml:space="preserve"> shall </w:t>
      </w:r>
      <w:r w:rsidRPr="00577DC1">
        <w:t>mean a portable device (such as a PDA, laptop or smartphone) that has some</w:t>
      </w:r>
      <w:r>
        <w:t xml:space="preserve"> </w:t>
      </w:r>
      <w:r w:rsidRPr="00577DC1">
        <w:t>form of Wi-Fi access hardware.</w:t>
      </w:r>
    </w:p>
    <w:p w14:paraId="042FBC5D" w14:textId="77777777" w:rsidR="00A8695A" w:rsidRPr="00577DC1" w:rsidRDefault="00A8695A" w:rsidP="00A8695A">
      <w:pPr>
        <w:pStyle w:val="Legalclauselevel2"/>
        <w:numPr>
          <w:ilvl w:val="1"/>
          <w:numId w:val="15"/>
        </w:numPr>
        <w:rPr>
          <w:lang w:bidi="ar-SA"/>
        </w:rPr>
      </w:pPr>
      <w:r w:rsidRPr="00577DC1">
        <w:rPr>
          <w:lang w:bidi="ar-SA"/>
        </w:rPr>
        <w:t xml:space="preserve">"GSM Association Permanent Reference Documents" </w:t>
      </w:r>
      <w:r>
        <w:rPr>
          <w:lang w:bidi="ar-SA"/>
        </w:rPr>
        <w:t xml:space="preserve">shall </w:t>
      </w:r>
      <w:r w:rsidRPr="00577DC1">
        <w:rPr>
          <w:lang w:bidi="ar-SA"/>
        </w:rPr>
        <w:t>mean a document noted as such by the GSMA and listed as such by the GSMA on the list of Official Documents.</w:t>
      </w:r>
    </w:p>
    <w:p w14:paraId="3659FA5A" w14:textId="77777777" w:rsidR="00A8695A" w:rsidRPr="00577DC1" w:rsidRDefault="00A8695A" w:rsidP="00A8695A">
      <w:pPr>
        <w:pStyle w:val="Legalclauselevel2"/>
        <w:numPr>
          <w:ilvl w:val="1"/>
          <w:numId w:val="15"/>
        </w:numPr>
        <w:rPr>
          <w:lang w:bidi="ar-SA"/>
        </w:rPr>
      </w:pPr>
      <w:r>
        <w:rPr>
          <w:lang w:bidi="ar-SA"/>
        </w:rPr>
        <w:t>“</w:t>
      </w:r>
      <w:r w:rsidRPr="00577DC1">
        <w:rPr>
          <w:lang w:bidi="ar-SA"/>
        </w:rPr>
        <w:t>Inflight Connectivity (IFC) Provider</w:t>
      </w:r>
      <w:r>
        <w:rPr>
          <w:lang w:bidi="ar-SA"/>
        </w:rPr>
        <w:t>”</w:t>
      </w:r>
      <w:r w:rsidRPr="00577DC1">
        <w:rPr>
          <w:lang w:bidi="ar-SA"/>
        </w:rPr>
        <w:t xml:space="preserve"> </w:t>
      </w:r>
      <w:r>
        <w:rPr>
          <w:lang w:bidi="ar-SA"/>
        </w:rPr>
        <w:t xml:space="preserve">shall </w:t>
      </w:r>
      <w:r w:rsidRPr="00577DC1">
        <w:rPr>
          <w:lang w:bidi="ar-SA"/>
        </w:rPr>
        <w:t>mean the operator of the network inside the cabin; this may not actually be the airline, who may have outsourced this to an entity that provides the hardware, the network and the actual connectivity to the aircraft for passengers to use</w:t>
      </w:r>
    </w:p>
    <w:p w14:paraId="34E61BDF" w14:textId="77777777" w:rsidR="00A8695A" w:rsidRPr="00577DC1" w:rsidRDefault="00A8695A" w:rsidP="00A8695A">
      <w:pPr>
        <w:pStyle w:val="Legalclauselevel2"/>
        <w:numPr>
          <w:ilvl w:val="1"/>
          <w:numId w:val="15"/>
        </w:numPr>
        <w:rPr>
          <w:lang w:bidi="ar-SA"/>
        </w:rPr>
      </w:pPr>
      <w:r w:rsidRPr="00577DC1">
        <w:t>“Intellectual Property Rights”</w:t>
      </w:r>
      <w:r>
        <w:t xml:space="preserve"> shall </w:t>
      </w:r>
      <w:r w:rsidRPr="00577DC1">
        <w:t xml:space="preserve">mean </w:t>
      </w:r>
      <w:proofErr w:type="gramStart"/>
      <w:r w:rsidRPr="00577DC1">
        <w:t>any and all</w:t>
      </w:r>
      <w:proofErr w:type="gramEnd"/>
      <w:r w:rsidRPr="00577DC1">
        <w:t xml:space="preserve"> intellectual property or proprietary rights, including, without limitation, those pertaining to copyright, patents, trademarks, and all other similar rights however denominated throughout the world, whether now known or hereafter recognized in any jurisdiction.</w:t>
      </w:r>
    </w:p>
    <w:p w14:paraId="7AC8174B" w14:textId="77777777" w:rsidR="00A8695A" w:rsidRPr="00577DC1" w:rsidRDefault="00A8695A" w:rsidP="00A8695A">
      <w:pPr>
        <w:pStyle w:val="Legalclauselevel2"/>
        <w:numPr>
          <w:ilvl w:val="1"/>
          <w:numId w:val="15"/>
        </w:numPr>
        <w:rPr>
          <w:lang w:bidi="ar-SA"/>
        </w:rPr>
      </w:pPr>
      <w:r w:rsidRPr="00577DC1">
        <w:t>“Marks”</w:t>
      </w:r>
      <w:r>
        <w:t xml:space="preserve"> shall </w:t>
      </w:r>
      <w:r w:rsidRPr="00577DC1">
        <w:t>mean the applicable trademarks or service marks of each Party.</w:t>
      </w:r>
    </w:p>
    <w:p w14:paraId="69329DEA" w14:textId="77777777" w:rsidR="00A8695A" w:rsidRPr="00577DC1" w:rsidRDefault="00A8695A" w:rsidP="00A8695A">
      <w:pPr>
        <w:pStyle w:val="Legalclauselevel2"/>
        <w:numPr>
          <w:ilvl w:val="1"/>
          <w:numId w:val="15"/>
        </w:numPr>
        <w:rPr>
          <w:lang w:bidi="ar-SA"/>
        </w:rPr>
      </w:pPr>
      <w:r w:rsidRPr="00577DC1">
        <w:t>“Online Policies”</w:t>
      </w:r>
      <w:r>
        <w:t xml:space="preserve"> shall </w:t>
      </w:r>
      <w:r w:rsidRPr="00577DC1">
        <w:t>mean the terms of service, acceptable use policies and other guidelines that a Party publishes and enforces against the users of the Wi-Fi Inflight Service. Unless otherwise specified in this Agreement, users must abide by the Online Policies of both &lt;B&gt; and &lt;A&gt; when using the &lt;A&gt;’s Wi-Fi Inflight Service.</w:t>
      </w:r>
    </w:p>
    <w:p w14:paraId="55E11C02" w14:textId="77777777" w:rsidR="00A8695A" w:rsidRDefault="00A8695A" w:rsidP="00A8695A">
      <w:pPr>
        <w:pStyle w:val="Legalclauselevel2"/>
        <w:numPr>
          <w:ilvl w:val="1"/>
          <w:numId w:val="15"/>
        </w:numPr>
        <w:rPr>
          <w:lang w:bidi="ar-SA"/>
        </w:rPr>
      </w:pPr>
      <w:r w:rsidRPr="00577DC1">
        <w:t>“RADIUS”</w:t>
      </w:r>
      <w:r w:rsidRPr="00577DC1">
        <w:tab/>
        <w:t>shall mean Remote Authentication Dial In User Service protocol as defined in IETF RFCs. Non-Radius Devices are not required to be, and are not necessarily, supported.</w:t>
      </w:r>
    </w:p>
    <w:p w14:paraId="37FC5830" w14:textId="77777777" w:rsidR="00A8695A" w:rsidRPr="00577DC1" w:rsidRDefault="00A8695A" w:rsidP="00A8695A">
      <w:pPr>
        <w:pStyle w:val="Legalclauselevel2"/>
        <w:numPr>
          <w:ilvl w:val="1"/>
          <w:numId w:val="15"/>
        </w:numPr>
        <w:rPr>
          <w:lang w:bidi="ar-SA"/>
        </w:rPr>
      </w:pPr>
      <w:r w:rsidRPr="00577DC1">
        <w:t>“Service Provider”</w:t>
      </w:r>
      <w:r>
        <w:t xml:space="preserve"> shall </w:t>
      </w:r>
      <w:r w:rsidRPr="00577DC1">
        <w:t>mean an entity(</w:t>
      </w:r>
      <w:proofErr w:type="spellStart"/>
      <w:r w:rsidRPr="00577DC1">
        <w:t>ies</w:t>
      </w:r>
      <w:proofErr w:type="spellEnd"/>
      <w:r w:rsidRPr="00577DC1">
        <w:t>) that performs network access, network control, and network usage record keeping functions, which may include, but are not limited to Authentication, collecting, aggregating, storing, financial reporting and financial clearing and settling network access and usage records on behalf of a Party. The Service Provider may also provide updated Directory information on behalf of a Party.</w:t>
      </w:r>
    </w:p>
    <w:p w14:paraId="66CFECA5" w14:textId="77777777" w:rsidR="00A8695A" w:rsidRPr="00577DC1" w:rsidRDefault="00A8695A" w:rsidP="00A8695A">
      <w:pPr>
        <w:pStyle w:val="Legalclauselevel2"/>
        <w:numPr>
          <w:ilvl w:val="1"/>
          <w:numId w:val="15"/>
        </w:numPr>
        <w:rPr>
          <w:lang w:bidi="ar-SA"/>
        </w:rPr>
      </w:pPr>
      <w:bookmarkStart w:id="32" w:name="_DV_X136"/>
      <w:bookmarkStart w:id="33" w:name="_DV_C177"/>
      <w:r w:rsidRPr="00577DC1">
        <w:rPr>
          <w:lang w:bidi="ar-SA"/>
        </w:rPr>
        <w:t>"TAP" shall mean Transferred Account Procedure as defined and described in GSM Association Permanent Reference Documents.</w:t>
      </w:r>
      <w:bookmarkStart w:id="34" w:name="_DV_X116"/>
      <w:bookmarkStart w:id="35" w:name="_DV_C179"/>
      <w:bookmarkEnd w:id="32"/>
      <w:bookmarkEnd w:id="33"/>
    </w:p>
    <w:p w14:paraId="51B67385" w14:textId="77777777" w:rsidR="00A8695A" w:rsidRPr="00577DC1" w:rsidRDefault="00A8695A" w:rsidP="00A8695A">
      <w:pPr>
        <w:pStyle w:val="Legalclauselevel2"/>
        <w:numPr>
          <w:ilvl w:val="1"/>
          <w:numId w:val="15"/>
        </w:numPr>
        <w:rPr>
          <w:lang w:bidi="ar-SA"/>
        </w:rPr>
      </w:pPr>
      <w:r w:rsidRPr="00577DC1">
        <w:rPr>
          <w:lang w:bidi="ar-SA"/>
        </w:rPr>
        <w:t>"Technical Specifications" shall mean the technical specifications defined and adopted by 3GPP (Third Generation Partnership Project), including the ETSI technical specifications defined and adopted by 3GPP.</w:t>
      </w:r>
      <w:bookmarkStart w:id="36" w:name="_DV_C180"/>
      <w:bookmarkEnd w:id="34"/>
      <w:bookmarkEnd w:id="35"/>
    </w:p>
    <w:p w14:paraId="5F7A9FA3" w14:textId="77777777" w:rsidR="00A8695A" w:rsidRPr="00577DC1" w:rsidRDefault="00A8695A" w:rsidP="00A8695A">
      <w:pPr>
        <w:pStyle w:val="Legalclauselevel2"/>
        <w:numPr>
          <w:ilvl w:val="1"/>
          <w:numId w:val="15"/>
        </w:numPr>
        <w:rPr>
          <w:lang w:bidi="ar-SA"/>
        </w:rPr>
      </w:pPr>
      <w:r w:rsidRPr="00577DC1">
        <w:rPr>
          <w:lang w:bidi="ar-SA"/>
        </w:rPr>
        <w:t xml:space="preserve">”Wi-Fi Inflight Service” </w:t>
      </w:r>
      <w:r w:rsidRPr="00577DC1">
        <w:t>shall mean the provision of data service over Wi-Fi allowing Customers of &lt;B&gt; to have access to the Services provided under this Wi-Fi Inflight Agreement by &lt;A&gt;.</w:t>
      </w:r>
      <w:r w:rsidRPr="00577DC1">
        <w:rPr>
          <w:lang w:bidi="ar-SA"/>
        </w:rPr>
        <w:t xml:space="preserve"> </w:t>
      </w:r>
    </w:p>
    <w:p w14:paraId="7E4B26BF" w14:textId="77777777" w:rsidR="00A8695A" w:rsidRPr="00577DC1" w:rsidRDefault="00A8695A" w:rsidP="00A8695A">
      <w:pPr>
        <w:pStyle w:val="Legalclauselevel2"/>
        <w:numPr>
          <w:ilvl w:val="1"/>
          <w:numId w:val="15"/>
        </w:numPr>
        <w:rPr>
          <w:lang w:bidi="ar-SA"/>
        </w:rPr>
      </w:pPr>
      <w:r w:rsidRPr="00577DC1">
        <w:t>“Wi-Fi Network”</w:t>
      </w:r>
      <w:r>
        <w:t xml:space="preserve"> </w:t>
      </w:r>
      <w:r w:rsidRPr="00577DC1">
        <w:t>shall mean a Wireless Local Area Network based on the IEEE 802.11 product family, which is made available by &lt;A&gt; for public usage. (“IEEE” is an acronym for The Institute of Electrical and Electronics Engineers, an international non-profit, professional organization for the advancement of technology related to electricity).</w:t>
      </w:r>
    </w:p>
    <w:p w14:paraId="241A7B3A" w14:textId="77777777" w:rsidR="00A8695A" w:rsidRPr="00577DC1" w:rsidRDefault="00A8695A" w:rsidP="00A8695A">
      <w:pPr>
        <w:pStyle w:val="Legalclauselevel2"/>
        <w:numPr>
          <w:ilvl w:val="1"/>
          <w:numId w:val="15"/>
        </w:numPr>
        <w:rPr>
          <w:lang w:bidi="ar-SA"/>
        </w:rPr>
      </w:pPr>
      <w:r w:rsidRPr="00577DC1">
        <w:t>“Wi-Fi Session”</w:t>
      </w:r>
      <w:r>
        <w:t xml:space="preserve"> shall </w:t>
      </w:r>
      <w:r w:rsidRPr="00577DC1">
        <w:t>mean a successful connection to &lt;A&gt;’s Network by a Customer as detailed in the Annexes.</w:t>
      </w:r>
      <w:r w:rsidRPr="00577DC1">
        <w:rPr>
          <w:lang w:bidi="ar-SA"/>
        </w:rPr>
        <w:t xml:space="preserve"> </w:t>
      </w:r>
    </w:p>
    <w:bookmarkEnd w:id="36"/>
    <w:p w14:paraId="26F63411" w14:textId="77777777" w:rsidR="00A8695A" w:rsidRPr="00577DC1" w:rsidRDefault="00A8695A" w:rsidP="00A8695A">
      <w:pPr>
        <w:pStyle w:val="Legalclauselevel1"/>
        <w:rPr>
          <w:lang w:eastAsia="de-DE"/>
        </w:rPr>
      </w:pPr>
      <w:r w:rsidRPr="00577DC1">
        <w:t>Annexes</w:t>
      </w:r>
    </w:p>
    <w:p w14:paraId="4E383B67" w14:textId="77777777" w:rsidR="00A8695A" w:rsidRPr="00577DC1" w:rsidRDefault="00A8695A" w:rsidP="00A8695A">
      <w:pPr>
        <w:pStyle w:val="Legalclauselevel2"/>
        <w:numPr>
          <w:ilvl w:val="1"/>
          <w:numId w:val="15"/>
        </w:numPr>
        <w:rPr>
          <w:lang w:bidi="ar-SA"/>
        </w:rPr>
      </w:pPr>
      <w:r w:rsidRPr="00577DC1">
        <w:rPr>
          <w:lang w:bidi="ar-SA"/>
        </w:rPr>
        <w:t>The Annexes are divided as set out in the Overview of the Annex Structure.</w:t>
      </w:r>
    </w:p>
    <w:p w14:paraId="5E4BC658" w14:textId="77777777" w:rsidR="00A8695A" w:rsidRPr="00577DC1" w:rsidRDefault="00A8695A" w:rsidP="00A8695A">
      <w:pPr>
        <w:pStyle w:val="Legalclauselevel1"/>
      </w:pPr>
      <w:r w:rsidRPr="00577DC1">
        <w:t>Scope of the Agreement</w:t>
      </w:r>
    </w:p>
    <w:p w14:paraId="1C04F556" w14:textId="77777777" w:rsidR="00A8695A" w:rsidRPr="00577DC1" w:rsidRDefault="00A8695A" w:rsidP="00A8695A">
      <w:pPr>
        <w:pStyle w:val="Legalclauselevel2"/>
        <w:numPr>
          <w:ilvl w:val="1"/>
          <w:numId w:val="15"/>
        </w:numPr>
        <w:rPr>
          <w:lang w:bidi="ar-SA"/>
        </w:rPr>
      </w:pPr>
      <w:bookmarkStart w:id="37" w:name="_Ref335115468"/>
      <w:r w:rsidRPr="00577DC1">
        <w:rPr>
          <w:lang w:bidi="ar-SA"/>
        </w:rPr>
        <w:t>In respect of and subject to their licenses or rights and other binding regulations to establish and operate the Wi-Fi Inflight Service, &lt;A&gt; agrees to offer the Wi-Fi Inflight Service and &lt;B&gt; agrees to pay for the Wi-Fi Inflight Service, subject to Article 5.2,</w:t>
      </w:r>
      <w:r w:rsidRPr="00577DC1">
        <w:rPr>
          <w:lang w:bidi="ar-SA"/>
        </w:rPr>
        <w:fldChar w:fldCharType="begin"/>
      </w:r>
      <w:r w:rsidRPr="00577DC1">
        <w:rPr>
          <w:lang w:bidi="ar-SA"/>
        </w:rPr>
        <w:instrText xml:space="preserve"> REF _Ref334776238 \r \h  \* MERGEFORMAT </w:instrText>
      </w:r>
      <w:r w:rsidRPr="00577DC1">
        <w:rPr>
          <w:lang w:bidi="ar-SA"/>
        </w:rPr>
      </w:r>
      <w:r w:rsidRPr="00577DC1">
        <w:rPr>
          <w:lang w:bidi="ar-SA"/>
        </w:rPr>
        <w:fldChar w:fldCharType="end"/>
      </w:r>
      <w:r w:rsidRPr="00577DC1">
        <w:rPr>
          <w:lang w:bidi="ar-SA"/>
        </w:rPr>
        <w:t xml:space="preserve"> in accordance with:</w:t>
      </w:r>
      <w:bookmarkEnd w:id="37"/>
    </w:p>
    <w:p w14:paraId="0544B625" w14:textId="77777777" w:rsidR="00A8695A" w:rsidRPr="00577DC1" w:rsidRDefault="00A8695A" w:rsidP="00A8695A">
      <w:pPr>
        <w:pStyle w:val="Legalclauselevel3"/>
        <w:numPr>
          <w:ilvl w:val="2"/>
          <w:numId w:val="15"/>
        </w:numPr>
      </w:pPr>
      <w:bookmarkStart w:id="38" w:name="_Ref335115471"/>
      <w:r w:rsidRPr="00577DC1">
        <w:t xml:space="preserve">relevant Technical </w:t>
      </w:r>
      <w:proofErr w:type="gramStart"/>
      <w:r w:rsidRPr="00577DC1">
        <w:t>Specifications;</w:t>
      </w:r>
      <w:bookmarkEnd w:id="38"/>
      <w:proofErr w:type="gramEnd"/>
      <w:r w:rsidRPr="00577DC1">
        <w:t xml:space="preserve"> </w:t>
      </w:r>
    </w:p>
    <w:p w14:paraId="380C4B03" w14:textId="77777777" w:rsidR="00A8695A" w:rsidRPr="00273D54" w:rsidRDefault="00A8695A" w:rsidP="00A8695A">
      <w:pPr>
        <w:pStyle w:val="Legalclauselevel3"/>
        <w:numPr>
          <w:ilvl w:val="2"/>
          <w:numId w:val="15"/>
        </w:numPr>
        <w:spacing w:after="120"/>
        <w:ind w:left="1429"/>
        <w:rPr>
          <w:szCs w:val="24"/>
          <w:lang w:bidi="ar-SA"/>
        </w:rPr>
      </w:pPr>
      <w:bookmarkStart w:id="39" w:name="_Ref335115473"/>
      <w:r w:rsidRPr="00577DC1">
        <w:t>all GSM Association Permanent Reference Documents</w:t>
      </w:r>
      <w:bookmarkStart w:id="40" w:name="_Ref335115508"/>
      <w:bookmarkEnd w:id="39"/>
      <w:r w:rsidRPr="00577DC1">
        <w:t xml:space="preserve"> which are agreed by the Parties and specifically set out in the </w:t>
      </w:r>
      <w:proofErr w:type="gramStart"/>
      <w:r w:rsidRPr="00577DC1">
        <w:t>Annexes;</w:t>
      </w:r>
      <w:bookmarkEnd w:id="40"/>
      <w:proofErr w:type="gramEnd"/>
    </w:p>
    <w:p w14:paraId="4AA673F4" w14:textId="77777777" w:rsidR="00A8695A" w:rsidRPr="00273D54" w:rsidRDefault="00A8695A" w:rsidP="00A8695A">
      <w:pPr>
        <w:pStyle w:val="Legalclauselevel3"/>
        <w:numPr>
          <w:ilvl w:val="2"/>
          <w:numId w:val="15"/>
        </w:numPr>
        <w:spacing w:after="120"/>
        <w:ind w:left="1429"/>
        <w:rPr>
          <w:szCs w:val="24"/>
          <w:lang w:bidi="ar-SA"/>
        </w:rPr>
      </w:pPr>
      <w:r w:rsidRPr="00273D54">
        <w:rPr>
          <w:szCs w:val="24"/>
          <w:lang w:bidi="ar-SA"/>
        </w:rPr>
        <w:t>including in each case all the commercial aspects, as defined in the Agreement, including the Annexes hereto.</w:t>
      </w:r>
    </w:p>
    <w:p w14:paraId="6EBB2484" w14:textId="77777777" w:rsidR="00A8695A" w:rsidRPr="00577DC1" w:rsidRDefault="00A8695A" w:rsidP="00A8695A">
      <w:pPr>
        <w:pStyle w:val="Legalclauselevel2"/>
        <w:numPr>
          <w:ilvl w:val="1"/>
          <w:numId w:val="15"/>
        </w:numPr>
        <w:rPr>
          <w:lang w:bidi="ar-SA"/>
        </w:rPr>
      </w:pPr>
      <w:bookmarkStart w:id="41" w:name="_Ref334776238"/>
      <w:r w:rsidRPr="00577DC1">
        <w:rPr>
          <w:lang w:bidi="ar-SA"/>
        </w:rPr>
        <w:t>Additional requirements and exceptions to the Technical Specifications and GSM Association Permanent Reference Documents, as agreed between the Parties, are detailed in the Agreement and/or Annexes to the Agreement.</w:t>
      </w:r>
      <w:bookmarkEnd w:id="41"/>
    </w:p>
    <w:p w14:paraId="1C74C3BB" w14:textId="77777777" w:rsidR="00A8695A" w:rsidRPr="00577DC1" w:rsidRDefault="00A8695A" w:rsidP="00A8695A">
      <w:pPr>
        <w:pStyle w:val="Legalclauselevel1"/>
      </w:pPr>
      <w:bookmarkStart w:id="42" w:name="_Ref334777480"/>
      <w:r w:rsidRPr="00577DC1">
        <w:t xml:space="preserve">Implementation of the Network and Services </w:t>
      </w:r>
      <w:bookmarkEnd w:id="42"/>
    </w:p>
    <w:p w14:paraId="4685A670" w14:textId="77777777" w:rsidR="00A8695A" w:rsidRPr="00577DC1" w:rsidRDefault="00A8695A" w:rsidP="00A8695A">
      <w:pPr>
        <w:pStyle w:val="Legalclauselevel2"/>
        <w:numPr>
          <w:ilvl w:val="1"/>
          <w:numId w:val="15"/>
        </w:numPr>
        <w:rPr>
          <w:iCs/>
          <w:lang w:bidi="ar-SA"/>
        </w:rPr>
      </w:pPr>
      <w:r w:rsidRPr="00577DC1">
        <w:rPr>
          <w:lang w:bidi="ar-SA"/>
        </w:rPr>
        <w:t>The Wi-Fi Inflight Service provided by &lt;A&gt; is defined in Annex 7 and may be amended from time to time by &lt;A&gt;.</w:t>
      </w:r>
      <w:r>
        <w:rPr>
          <w:lang w:bidi="ar-SA"/>
        </w:rPr>
        <w:t xml:space="preserve"> </w:t>
      </w:r>
      <w:r w:rsidRPr="00577DC1">
        <w:rPr>
          <w:lang w:bidi="ar-SA"/>
        </w:rPr>
        <w:t>In addition:</w:t>
      </w:r>
    </w:p>
    <w:p w14:paraId="104EF7CC" w14:textId="77777777" w:rsidR="00A8695A" w:rsidRPr="00577DC1" w:rsidRDefault="00A8695A" w:rsidP="00A8695A">
      <w:pPr>
        <w:pStyle w:val="Legalclauselevel3"/>
        <w:numPr>
          <w:ilvl w:val="2"/>
          <w:numId w:val="15"/>
        </w:numPr>
      </w:pPr>
      <w:r w:rsidRPr="00577DC1">
        <w:t>Under this Agreement, the Wi-Fi Inflight Service shall only be made available to Customers having valid legal relationships with &lt;B</w:t>
      </w:r>
      <w:proofErr w:type="gramStart"/>
      <w:r w:rsidRPr="00577DC1">
        <w:t>&gt;;</w:t>
      </w:r>
      <w:proofErr w:type="gramEnd"/>
    </w:p>
    <w:p w14:paraId="4085102C" w14:textId="77777777" w:rsidR="00A8695A" w:rsidRPr="00273D54" w:rsidRDefault="00A8695A" w:rsidP="00A8695A">
      <w:pPr>
        <w:pStyle w:val="Legalclauselevel3"/>
        <w:numPr>
          <w:ilvl w:val="2"/>
          <w:numId w:val="15"/>
        </w:numPr>
      </w:pPr>
      <w:r w:rsidRPr="00273D54">
        <w:t xml:space="preserve">The availability of Wi-Fi Inflight Service may depend on the availability of appropriate </w:t>
      </w:r>
      <w:proofErr w:type="gramStart"/>
      <w:r w:rsidRPr="00273D54">
        <w:t>functionality;</w:t>
      </w:r>
      <w:proofErr w:type="gramEnd"/>
      <w:r w:rsidRPr="00273D54">
        <w:t xml:space="preserve"> </w:t>
      </w:r>
    </w:p>
    <w:p w14:paraId="4BCA3144" w14:textId="77777777" w:rsidR="00A8695A" w:rsidRPr="00273D54" w:rsidRDefault="00A8695A" w:rsidP="00A8695A">
      <w:pPr>
        <w:pStyle w:val="Legalclauselevel3"/>
        <w:numPr>
          <w:ilvl w:val="2"/>
          <w:numId w:val="15"/>
        </w:numPr>
      </w:pPr>
      <w:r w:rsidRPr="00273D54">
        <w:t>The Wi-Fi service may be operated by an Inflight Connectivity Provider on behalf of the airline</w:t>
      </w:r>
    </w:p>
    <w:p w14:paraId="26D0C9E8" w14:textId="77777777" w:rsidR="00A8695A" w:rsidRPr="00577DC1" w:rsidRDefault="00A8695A" w:rsidP="00A8695A">
      <w:pPr>
        <w:pStyle w:val="Legalclauselevel1"/>
      </w:pPr>
      <w:r w:rsidRPr="00577DC1">
        <w:t>Management of Modifications to the Services</w:t>
      </w:r>
    </w:p>
    <w:p w14:paraId="32DE98B5" w14:textId="77777777" w:rsidR="00A8695A" w:rsidRPr="00577DC1" w:rsidRDefault="00A8695A" w:rsidP="00A8695A">
      <w:pPr>
        <w:pStyle w:val="Legalclauselevel2"/>
        <w:numPr>
          <w:ilvl w:val="1"/>
          <w:numId w:val="15"/>
        </w:numPr>
        <w:rPr>
          <w:lang w:bidi="ar-SA"/>
        </w:rPr>
      </w:pPr>
      <w:bookmarkStart w:id="43" w:name="_DV_C228"/>
      <w:r w:rsidRPr="00577DC1">
        <w:rPr>
          <w:lang w:bidi="ar-SA"/>
        </w:rPr>
        <w:t xml:space="preserve">Following notice of change served by </w:t>
      </w:r>
      <w:bookmarkStart w:id="44" w:name="_DV_M102"/>
      <w:bookmarkEnd w:id="43"/>
      <w:bookmarkEnd w:id="44"/>
      <w:r w:rsidRPr="00577DC1">
        <w:rPr>
          <w:lang w:bidi="ar-SA"/>
        </w:rPr>
        <w:t xml:space="preserve">&lt;A&gt; to upgrade or change </w:t>
      </w:r>
      <w:bookmarkStart w:id="45" w:name="_DV_C231"/>
      <w:r w:rsidRPr="00577DC1">
        <w:rPr>
          <w:lang w:bidi="ar-SA"/>
        </w:rPr>
        <w:t>the Wi-Fi Inflight Service in accordance with Article 14.2 both Parties (including the IFC Provider if appropriate) shall</w:t>
      </w:r>
      <w:bookmarkStart w:id="46" w:name="_DV_M103"/>
      <w:bookmarkEnd w:id="45"/>
      <w:bookmarkEnd w:id="46"/>
      <w:r w:rsidRPr="00577DC1">
        <w:rPr>
          <w:lang w:bidi="ar-SA"/>
        </w:rPr>
        <w:t xml:space="preserve"> discuss the impact of any such change for Customers </w:t>
      </w:r>
      <w:bookmarkStart w:id="47" w:name="_DV_C232"/>
      <w:r w:rsidRPr="00577DC1">
        <w:rPr>
          <w:lang w:bidi="ar-SA"/>
        </w:rPr>
        <w:t>(</w:t>
      </w:r>
      <w:bookmarkStart w:id="48" w:name="_DV_M104"/>
      <w:bookmarkEnd w:id="47"/>
      <w:bookmarkEnd w:id="48"/>
      <w:r w:rsidRPr="00577DC1">
        <w:rPr>
          <w:lang w:bidi="ar-SA"/>
        </w:rPr>
        <w:t>including access to the Service</w:t>
      </w:r>
      <w:bookmarkStart w:id="49" w:name="_DV_C233"/>
      <w:r w:rsidRPr="00577DC1">
        <w:rPr>
          <w:lang w:bidi="ar-SA"/>
        </w:rPr>
        <w:t>)</w:t>
      </w:r>
      <w:bookmarkStart w:id="50" w:name="_DV_M105"/>
      <w:bookmarkEnd w:id="49"/>
      <w:bookmarkEnd w:id="50"/>
      <w:r>
        <w:rPr>
          <w:lang w:bidi="ar-SA"/>
        </w:rPr>
        <w:t xml:space="preserve"> </w:t>
      </w:r>
      <w:r w:rsidRPr="00577DC1">
        <w:rPr>
          <w:w w:val="0"/>
          <w:lang w:bidi="ar-SA"/>
        </w:rPr>
        <w:t>and</w:t>
      </w:r>
      <w:bookmarkStart w:id="51" w:name="_DV_C234"/>
      <w:r w:rsidRPr="00577DC1">
        <w:rPr>
          <w:w w:val="0"/>
          <w:lang w:bidi="ar-SA"/>
        </w:rPr>
        <w:t xml:space="preserve"> shall agree</w:t>
      </w:r>
      <w:bookmarkStart w:id="52" w:name="_DV_M106"/>
      <w:bookmarkEnd w:id="51"/>
      <w:bookmarkEnd w:id="52"/>
      <w:r w:rsidRPr="00577DC1">
        <w:rPr>
          <w:w w:val="0"/>
          <w:lang w:bidi="ar-SA"/>
        </w:rPr>
        <w:t xml:space="preserve"> the necessary actions to be performed,</w:t>
      </w:r>
      <w:r w:rsidRPr="00577DC1">
        <w:rPr>
          <w:lang w:bidi="ar-SA"/>
        </w:rPr>
        <w:t xml:space="preserve"> </w:t>
      </w:r>
      <w:bookmarkStart w:id="53" w:name="_DV_C236"/>
      <w:r w:rsidRPr="00577DC1">
        <w:rPr>
          <w:lang w:bidi="ar-SA"/>
        </w:rPr>
        <w:t xml:space="preserve">including without limitation, in relation to: </w:t>
      </w:r>
    </w:p>
    <w:p w14:paraId="20951FE9" w14:textId="77777777" w:rsidR="00A8695A" w:rsidRPr="00577DC1" w:rsidRDefault="00A8695A" w:rsidP="00A8695A">
      <w:pPr>
        <w:pStyle w:val="Legalclauselevel3"/>
        <w:numPr>
          <w:ilvl w:val="2"/>
          <w:numId w:val="15"/>
        </w:numPr>
      </w:pPr>
      <w:r w:rsidRPr="00577DC1">
        <w:t xml:space="preserve">network and billing test procedures as set out in the Technical Specifications and the GSM Association Permanent Reference Documents for example IR.61 Wi-Fi Roaming Guidelines, as requested by either Party (on the understanding that this may </w:t>
      </w:r>
      <w:proofErr w:type="gramStart"/>
      <w:r w:rsidRPr="00577DC1">
        <w:t>actually be</w:t>
      </w:r>
      <w:proofErr w:type="gramEnd"/>
      <w:r w:rsidRPr="00577DC1">
        <w:t xml:space="preserve"> performed by the IFC Provider</w:t>
      </w:r>
      <w:proofErr w:type="gramStart"/>
      <w:r w:rsidRPr="00577DC1">
        <w:t>);</w:t>
      </w:r>
      <w:proofErr w:type="gramEnd"/>
      <w:r w:rsidRPr="00577DC1">
        <w:t xml:space="preserve"> </w:t>
      </w:r>
    </w:p>
    <w:p w14:paraId="13F6046A" w14:textId="77777777" w:rsidR="00A8695A" w:rsidRPr="00577DC1" w:rsidRDefault="00A8695A" w:rsidP="00A8695A">
      <w:pPr>
        <w:pStyle w:val="Legalclauselevel3"/>
        <w:numPr>
          <w:ilvl w:val="2"/>
          <w:numId w:val="15"/>
        </w:numPr>
      </w:pPr>
      <w:bookmarkStart w:id="54" w:name="_DV_M107"/>
      <w:bookmarkEnd w:id="53"/>
      <w:bookmarkEnd w:id="54"/>
      <w:r w:rsidRPr="00577DC1">
        <w:t>administrative activities</w:t>
      </w:r>
      <w:bookmarkStart w:id="55" w:name="_DV_C237"/>
      <w:r w:rsidRPr="00577DC1">
        <w:t>; and</w:t>
      </w:r>
    </w:p>
    <w:p w14:paraId="60141705" w14:textId="77777777" w:rsidR="00A8695A" w:rsidRPr="00577DC1" w:rsidRDefault="00A8695A" w:rsidP="00A8695A">
      <w:pPr>
        <w:pStyle w:val="Legalclauselevel3"/>
        <w:numPr>
          <w:ilvl w:val="2"/>
          <w:numId w:val="15"/>
        </w:numPr>
      </w:pPr>
      <w:r w:rsidRPr="00577DC1">
        <w:t>the targeted starting date</w:t>
      </w:r>
      <w:bookmarkStart w:id="56" w:name="_DV_M108"/>
      <w:bookmarkEnd w:id="55"/>
      <w:bookmarkEnd w:id="56"/>
      <w:r w:rsidRPr="00577DC1">
        <w:t xml:space="preserve"> for the changed services.</w:t>
      </w:r>
    </w:p>
    <w:p w14:paraId="7DC403B6" w14:textId="77777777" w:rsidR="00A8695A" w:rsidRPr="00577DC1" w:rsidRDefault="00A8695A" w:rsidP="00A8695A">
      <w:pPr>
        <w:pStyle w:val="Legalclauselevel1"/>
      </w:pPr>
      <w:r w:rsidRPr="00577DC1">
        <w:t>Charging, Billing &amp; Accounting</w:t>
      </w:r>
    </w:p>
    <w:p w14:paraId="63CF68B5" w14:textId="77777777" w:rsidR="00A8695A" w:rsidRPr="00577DC1" w:rsidRDefault="00A8695A" w:rsidP="00A8695A">
      <w:pPr>
        <w:pStyle w:val="Legalclauselevel2"/>
        <w:numPr>
          <w:ilvl w:val="1"/>
          <w:numId w:val="15"/>
        </w:numPr>
      </w:pPr>
      <w:r w:rsidRPr="00577DC1">
        <w:t xml:space="preserve">When a Customer uses the Wi-Fi Inflight Service made available hereunder by &lt;A&gt;, &lt;B&gt; shall be responsible for payment of charges for the said Services so used in accordance with the tariff of &lt;A&gt; stated in Annex 7. </w:t>
      </w:r>
    </w:p>
    <w:p w14:paraId="26F0D0E1" w14:textId="77777777" w:rsidR="00A8695A" w:rsidRPr="00577DC1" w:rsidRDefault="00A8695A" w:rsidP="00A8695A">
      <w:pPr>
        <w:pStyle w:val="Legalclauselevel2"/>
        <w:numPr>
          <w:ilvl w:val="1"/>
          <w:numId w:val="15"/>
        </w:numPr>
      </w:pPr>
      <w:r w:rsidRPr="00577DC1">
        <w:t xml:space="preserve">&lt;B&gt; shall not be liable for the payment of charges for Services provided by &lt;A&gt; without Subscriber Identity Authentication as defined in GSM Association Permanent Reference Documents, except to the extent that &lt;B&gt; </w:t>
      </w:r>
      <w:proofErr w:type="gramStart"/>
      <w:r w:rsidRPr="00577DC1">
        <w:t>actually recovers</w:t>
      </w:r>
      <w:proofErr w:type="gramEnd"/>
      <w:r w:rsidRPr="00577DC1">
        <w:t xml:space="preserve"> all charges due in relation to the Customer.</w:t>
      </w:r>
      <w:r>
        <w:t xml:space="preserve"> </w:t>
      </w:r>
      <w:r w:rsidRPr="00577DC1">
        <w:t>In the case of re-authentication malfunction, procedures are further detailed in Annex 4.</w:t>
      </w:r>
    </w:p>
    <w:p w14:paraId="7F8A1B81" w14:textId="77777777" w:rsidR="00A8695A" w:rsidRPr="00577DC1" w:rsidRDefault="00A8695A" w:rsidP="00A8695A">
      <w:pPr>
        <w:pStyle w:val="Legalclauselevel2"/>
        <w:numPr>
          <w:ilvl w:val="1"/>
          <w:numId w:val="15"/>
        </w:numPr>
      </w:pPr>
      <w:r w:rsidRPr="00577DC1">
        <w:t>Implementation of exchange mechanisms for charging information</w:t>
      </w:r>
    </w:p>
    <w:p w14:paraId="704E26E9" w14:textId="77777777" w:rsidR="00A8695A" w:rsidRPr="00577DC1" w:rsidRDefault="00A8695A" w:rsidP="00A8695A">
      <w:pPr>
        <w:pStyle w:val="Legalclauselevel3"/>
        <w:numPr>
          <w:ilvl w:val="2"/>
          <w:numId w:val="15"/>
        </w:numPr>
      </w:pPr>
      <w:r w:rsidRPr="00577DC1">
        <w:t>The Parties (including the IFC Provider where appropriate) shall implement exchange mechanisms for charging information in accordance with</w:t>
      </w:r>
      <w:r w:rsidRPr="00577DC1" w:rsidDel="00F34DF4">
        <w:t xml:space="preserve"> </w:t>
      </w:r>
      <w:r w:rsidRPr="00577DC1">
        <w:t>the GSM Association Permanent Reference Documents and the provisions set out in the Annex 3.1. [only relevant where TAP or BCE is used]</w:t>
      </w:r>
    </w:p>
    <w:p w14:paraId="0137AD03" w14:textId="77777777" w:rsidR="00A8695A" w:rsidRPr="00577DC1" w:rsidRDefault="00A8695A" w:rsidP="00A8695A">
      <w:pPr>
        <w:pStyle w:val="Legalclauselevel3"/>
        <w:numPr>
          <w:ilvl w:val="2"/>
          <w:numId w:val="15"/>
        </w:numPr>
        <w:rPr>
          <w:lang w:bidi="ar-SA"/>
        </w:rPr>
      </w:pPr>
      <w:r w:rsidRPr="00577DC1">
        <w:rPr>
          <w:lang w:bidi="ar-SA"/>
        </w:rPr>
        <w:t>All exchange mechanisms will be agreed in separate launch letter(s).</w:t>
      </w:r>
    </w:p>
    <w:p w14:paraId="4FF50303" w14:textId="77777777" w:rsidR="00A8695A" w:rsidRPr="00577DC1" w:rsidRDefault="00A8695A" w:rsidP="00A8695A">
      <w:pPr>
        <w:pStyle w:val="Legalclauselevel2"/>
        <w:numPr>
          <w:ilvl w:val="1"/>
          <w:numId w:val="15"/>
        </w:numPr>
      </w:pPr>
      <w:bookmarkStart w:id="57" w:name="_Ref334776993"/>
      <w:r w:rsidRPr="00577DC1">
        <w:t>Billing and Accounting</w:t>
      </w:r>
      <w:bookmarkEnd w:id="57"/>
    </w:p>
    <w:p w14:paraId="05816967" w14:textId="77777777" w:rsidR="00A8695A" w:rsidRPr="00577DC1" w:rsidRDefault="00A8695A" w:rsidP="00A8695A">
      <w:pPr>
        <w:pStyle w:val="Legalclauselevel3"/>
        <w:numPr>
          <w:ilvl w:val="2"/>
          <w:numId w:val="15"/>
        </w:numPr>
      </w:pPr>
      <w:r w:rsidRPr="00577DC1">
        <w:t>The Parties (including the IFC Provider where appropriate) shall implement billing and accounting according to the GSM Association Permanent Reference Documents and the provisions set out in Annex 3.2.</w:t>
      </w:r>
    </w:p>
    <w:p w14:paraId="50B55528" w14:textId="77777777" w:rsidR="00A8695A" w:rsidRPr="00577DC1" w:rsidRDefault="00A8695A" w:rsidP="00A8695A">
      <w:pPr>
        <w:pStyle w:val="Legalclauselevel1"/>
      </w:pPr>
      <w:bookmarkStart w:id="58" w:name="_Ref334776879"/>
      <w:r w:rsidRPr="00577DC1">
        <w:t>Confidentiality</w:t>
      </w:r>
      <w:bookmarkEnd w:id="58"/>
    </w:p>
    <w:p w14:paraId="5790B6F9" w14:textId="77777777" w:rsidR="00A8695A" w:rsidRPr="00577DC1" w:rsidRDefault="00A8695A" w:rsidP="00A8695A">
      <w:pPr>
        <w:pStyle w:val="Legalclauselevel2"/>
        <w:numPr>
          <w:ilvl w:val="1"/>
          <w:numId w:val="15"/>
        </w:numPr>
        <w:rPr>
          <w:lang w:bidi="ar-SA"/>
        </w:rPr>
      </w:pPr>
      <w:r w:rsidRPr="00577DC1">
        <w:rPr>
          <w:lang w:bidi="ar-SA"/>
        </w:rPr>
        <w:t xml:space="preserve">The Parties agree that all aspects of the contents of the Agreement shall be treated as Information (as defined below) and no information in respect to the content of the Agreement shall be disclosed without the prior written consent of the Parties except as reasonably necessary to implement the Agreement </w:t>
      </w:r>
    </w:p>
    <w:p w14:paraId="65C84752" w14:textId="77777777" w:rsidR="00A8695A" w:rsidRPr="00577DC1" w:rsidRDefault="00A8695A" w:rsidP="00A8695A">
      <w:pPr>
        <w:pStyle w:val="Legalclauselevel2"/>
        <w:numPr>
          <w:ilvl w:val="1"/>
          <w:numId w:val="15"/>
        </w:numPr>
        <w:rPr>
          <w:lang w:bidi="ar-SA"/>
        </w:rPr>
      </w:pPr>
      <w:r w:rsidRPr="00577DC1">
        <w:rPr>
          <w:lang w:bidi="ar-SA"/>
        </w:rPr>
        <w:t xml:space="preserve">In addition to Article </w:t>
      </w:r>
      <w:r>
        <w:rPr>
          <w:lang w:bidi="ar-SA"/>
        </w:rPr>
        <w:t>9</w:t>
      </w:r>
      <w:r w:rsidRPr="00577DC1">
        <w:rPr>
          <w:lang w:bidi="ar-SA"/>
        </w:rPr>
        <w:t xml:space="preserve">.1 hereof, the Parties hereby agree to treat all information exchanged between them (hereinafter referred to as "Information") as confidential and agree not to disclose such Information in any manner whatsoever, in whole or in part except as provided in </w:t>
      </w:r>
      <w:r w:rsidRPr="00C9778F">
        <w:rPr>
          <w:lang w:bidi="ar-SA"/>
        </w:rPr>
        <w:t>this Article 9</w:t>
      </w:r>
      <w:r w:rsidRPr="00577DC1">
        <w:rPr>
          <w:lang w:bidi="ar-SA"/>
        </w:rPr>
        <w:t>. The Parties shall not use any Information other than in connection with the discussions between them and any transactions resulting therefrom, or for the provision of the Services as contemplated herein. The Parties are also entitled to disclose Information to third parties in the context of a possible bona fide acquisition or sale of its operations in support of reasonably related due diligence activities in respect thereof, or for the borrowing of funds or obtaining of insurance, in which case</w:t>
      </w:r>
      <w:r>
        <w:rPr>
          <w:lang w:bidi="ar-SA"/>
        </w:rPr>
        <w:t xml:space="preserve"> </w:t>
      </w:r>
      <w:r w:rsidRPr="00577DC1">
        <w:rPr>
          <w:lang w:bidi="ar-SA"/>
        </w:rPr>
        <w:t>any third parties (including lenders or insurance companies) involved in such activities shall be</w:t>
      </w:r>
      <w:r>
        <w:rPr>
          <w:lang w:bidi="ar-SA"/>
        </w:rPr>
        <w:t xml:space="preserve"> </w:t>
      </w:r>
      <w:r w:rsidRPr="00577DC1">
        <w:rPr>
          <w:lang w:bidi="ar-SA"/>
        </w:rPr>
        <w:t xml:space="preserve">obliged to enter into confidentiality agreements which have the equivalent content as this Article </w:t>
      </w:r>
      <w:r>
        <w:rPr>
          <w:lang w:bidi="ar-SA"/>
        </w:rPr>
        <w:t>9</w:t>
      </w:r>
      <w:r w:rsidRPr="00577DC1">
        <w:rPr>
          <w:lang w:bidi="ar-SA"/>
        </w:rPr>
        <w:t xml:space="preserve"> before receiving the Information.</w:t>
      </w:r>
      <w:r>
        <w:rPr>
          <w:lang w:bidi="ar-SA"/>
        </w:rPr>
        <w:t xml:space="preserve"> </w:t>
      </w:r>
      <w:r w:rsidRPr="00577DC1">
        <w:rPr>
          <w:lang w:bidi="ar-SA"/>
        </w:rPr>
        <w:t xml:space="preserve">In addition to the foregoing, the Parties shall also be entitled to share information with Affiliated Companies, directors, agents, professional advisers, contractors, employees or resellers on a need to know basis provided that such Affiliated Companies, agents, contractors, employees or resellers have entered into confidentiality agreements in a form substantially equivalent to and on terms and conditions no less stringent than the terms and conditions set out in this Article </w:t>
      </w:r>
      <w:r>
        <w:rPr>
          <w:lang w:bidi="ar-SA"/>
        </w:rPr>
        <w:t>9</w:t>
      </w:r>
      <w:r w:rsidRPr="00577DC1">
        <w:rPr>
          <w:lang w:bidi="ar-SA"/>
        </w:rPr>
        <w:t>.</w:t>
      </w:r>
      <w:r>
        <w:rPr>
          <w:lang w:bidi="ar-SA"/>
        </w:rPr>
        <w:t xml:space="preserve"> </w:t>
      </w:r>
      <w:r w:rsidRPr="00577DC1">
        <w:rPr>
          <w:lang w:bidi="ar-SA"/>
        </w:rPr>
        <w:t xml:space="preserve">Subject to Article </w:t>
      </w:r>
      <w:r>
        <w:rPr>
          <w:lang w:bidi="ar-SA"/>
        </w:rPr>
        <w:t>9</w:t>
      </w:r>
      <w:r w:rsidRPr="00577DC1">
        <w:rPr>
          <w:lang w:bidi="ar-SA"/>
        </w:rPr>
        <w:t xml:space="preserve"> hereof, each Party shall be liable in accordance with Article 13 toward the other Party(</w:t>
      </w:r>
      <w:proofErr w:type="spellStart"/>
      <w:r w:rsidRPr="00577DC1">
        <w:rPr>
          <w:lang w:bidi="ar-SA"/>
        </w:rPr>
        <w:t>ies</w:t>
      </w:r>
      <w:proofErr w:type="spellEnd"/>
      <w:r w:rsidRPr="00577DC1">
        <w:rPr>
          <w:lang w:bidi="ar-SA"/>
        </w:rPr>
        <w:t>) in respect of any unauthorized disclosure of Information made by any other authorized recipients.</w:t>
      </w:r>
    </w:p>
    <w:p w14:paraId="4F64FEF6" w14:textId="77777777" w:rsidR="00A8695A" w:rsidRPr="00577DC1" w:rsidRDefault="00A8695A" w:rsidP="00A8695A">
      <w:pPr>
        <w:pStyle w:val="Legalclauselevel2"/>
        <w:numPr>
          <w:ilvl w:val="1"/>
          <w:numId w:val="15"/>
        </w:numPr>
        <w:rPr>
          <w:lang w:bidi="ar-SA"/>
        </w:rPr>
      </w:pPr>
      <w:bookmarkStart w:id="59" w:name="_Ref334777098"/>
      <w:r w:rsidRPr="00577DC1">
        <w:rPr>
          <w:lang w:bidi="ar-SA"/>
        </w:rPr>
        <w:t>Notwithstanding Article 1</w:t>
      </w:r>
      <w:r>
        <w:rPr>
          <w:lang w:bidi="ar-SA"/>
        </w:rPr>
        <w:t>2</w:t>
      </w:r>
      <w:r w:rsidRPr="00577DC1">
        <w:rPr>
          <w:lang w:bidi="ar-SA"/>
        </w:rPr>
        <w:t xml:space="preserve"> each Party shall be liable under this Agreement to the other Party in respect of any proven damage or loss to the other Party caused by its unauthorised use or disclosure of such information only up to the sum of five hundred thousand (500,000) </w:t>
      </w:r>
      <w:r>
        <w:rPr>
          <w:lang w:bidi="ar-SA"/>
        </w:rPr>
        <w:t>EUR/USD</w:t>
      </w:r>
      <w:r w:rsidRPr="00577DC1">
        <w:rPr>
          <w:lang w:bidi="ar-SA"/>
        </w:rPr>
        <w:t>.</w:t>
      </w:r>
      <w:bookmarkEnd w:id="59"/>
      <w:r w:rsidRPr="00577DC1">
        <w:rPr>
          <w:lang w:bidi="ar-SA"/>
        </w:rPr>
        <w:t xml:space="preserve"> </w:t>
      </w:r>
    </w:p>
    <w:p w14:paraId="70960BF7" w14:textId="77777777" w:rsidR="00A8695A" w:rsidRPr="00577DC1" w:rsidRDefault="00A8695A" w:rsidP="00A8695A">
      <w:pPr>
        <w:pStyle w:val="Legalclauselevel2"/>
        <w:numPr>
          <w:ilvl w:val="1"/>
          <w:numId w:val="15"/>
        </w:numPr>
        <w:rPr>
          <w:lang w:bidi="ar-SA"/>
        </w:rPr>
      </w:pPr>
      <w:r w:rsidRPr="00577DC1">
        <w:rPr>
          <w:lang w:bidi="ar-SA"/>
        </w:rPr>
        <w:t xml:space="preserve">Notwithstanding Article </w:t>
      </w:r>
      <w:r>
        <w:rPr>
          <w:lang w:bidi="ar-SA"/>
        </w:rPr>
        <w:t>9</w:t>
      </w:r>
      <w:r w:rsidRPr="00577DC1">
        <w:rPr>
          <w:lang w:bidi="ar-SA"/>
        </w:rPr>
        <w:t>.1 above, Information and the contents of this Agreement may be transmitted to governmental, judicial or regulatory authorities, as may be required by any governmental, judicial or regulatory authority.</w:t>
      </w:r>
    </w:p>
    <w:p w14:paraId="4755F273" w14:textId="77777777" w:rsidR="00A8695A" w:rsidRPr="00577DC1" w:rsidRDefault="00A8695A" w:rsidP="00A8695A">
      <w:pPr>
        <w:pStyle w:val="Legalclauselevel2"/>
        <w:numPr>
          <w:ilvl w:val="1"/>
          <w:numId w:val="15"/>
        </w:numPr>
        <w:rPr>
          <w:lang w:bidi="ar-SA"/>
        </w:rPr>
      </w:pPr>
      <w:r w:rsidRPr="00577DC1">
        <w:rPr>
          <w:lang w:bidi="ar-SA"/>
        </w:rPr>
        <w:t xml:space="preserve">For the purposes of the Agreement, Information and the contents of this Agreement shall not </w:t>
      </w:r>
      <w:proofErr w:type="gramStart"/>
      <w:r w:rsidRPr="00577DC1">
        <w:rPr>
          <w:lang w:bidi="ar-SA"/>
        </w:rPr>
        <w:t>be considered to be</w:t>
      </w:r>
      <w:proofErr w:type="gramEnd"/>
      <w:r w:rsidRPr="00577DC1">
        <w:rPr>
          <w:lang w:bidi="ar-SA"/>
        </w:rPr>
        <w:t xml:space="preserve"> confidential if such Information is:</w:t>
      </w:r>
    </w:p>
    <w:p w14:paraId="4742F906" w14:textId="77777777" w:rsidR="00A8695A" w:rsidRPr="00312345" w:rsidRDefault="00A8695A" w:rsidP="00A8695A">
      <w:pPr>
        <w:pStyle w:val="Legalclauselevel3"/>
        <w:numPr>
          <w:ilvl w:val="2"/>
          <w:numId w:val="15"/>
        </w:numPr>
      </w:pPr>
      <w:r w:rsidRPr="00312345">
        <w:t>in or passed into the public domain other than by breach of this Article; or</w:t>
      </w:r>
    </w:p>
    <w:p w14:paraId="6F582D73" w14:textId="77777777" w:rsidR="00A8695A" w:rsidRPr="00312345" w:rsidRDefault="00A8695A" w:rsidP="00A8695A">
      <w:pPr>
        <w:pStyle w:val="Legalclauselevel3"/>
        <w:numPr>
          <w:ilvl w:val="2"/>
          <w:numId w:val="15"/>
        </w:numPr>
      </w:pPr>
      <w:r w:rsidRPr="00312345">
        <w:t>known to a receiving Party prior to the disclosure by a disclosing Party; or</w:t>
      </w:r>
    </w:p>
    <w:p w14:paraId="24D47F8D" w14:textId="77777777" w:rsidR="00A8695A" w:rsidRPr="00312345" w:rsidRDefault="00A8695A" w:rsidP="00A8695A">
      <w:pPr>
        <w:pStyle w:val="Legalclauselevel3"/>
        <w:numPr>
          <w:ilvl w:val="2"/>
          <w:numId w:val="15"/>
        </w:numPr>
      </w:pPr>
      <w:r w:rsidRPr="00312345">
        <w:t>disclosed to a receiving Party without restriction by a third party having the full right to disclose; or</w:t>
      </w:r>
    </w:p>
    <w:p w14:paraId="072E17EC" w14:textId="77777777" w:rsidR="00A8695A" w:rsidRPr="00577DC1" w:rsidRDefault="00A8695A" w:rsidP="00A8695A">
      <w:pPr>
        <w:pStyle w:val="Legalclauselevel3"/>
        <w:numPr>
          <w:ilvl w:val="2"/>
          <w:numId w:val="15"/>
        </w:numPr>
      </w:pPr>
      <w:r w:rsidRPr="00577DC1">
        <w:t>independently developed by a receiving Party to whom no disclosure of confidential Information relevant to such Information has been made.</w:t>
      </w:r>
    </w:p>
    <w:p w14:paraId="0E586818" w14:textId="77777777" w:rsidR="00A8695A" w:rsidRPr="00C9778F" w:rsidRDefault="00A8695A" w:rsidP="00A8695A">
      <w:pPr>
        <w:pStyle w:val="Legalclauselevel2"/>
        <w:numPr>
          <w:ilvl w:val="1"/>
          <w:numId w:val="15"/>
        </w:numPr>
        <w:rPr>
          <w:lang w:bidi="ar-SA"/>
        </w:rPr>
      </w:pPr>
      <w:r w:rsidRPr="00C9778F">
        <w:rPr>
          <w:lang w:bidi="ar-SA"/>
        </w:rPr>
        <w:t>Each Party agrees that in the event of a breach or threatened breach of Article 9, the harm suffered by the other Party would not be compensable by monetary damages alone and, accordingly, in addition to other available legal or equitable remedies, the other Party shall be entitled to apply for an injunction or specific performance with respect to such breach or threatened breach, without proof of actual damages (and without the requirement of posting a bond or other security) and each Party agrees not to plead sufficiency of damages as a defence.</w:t>
      </w:r>
      <w:r w:rsidRPr="00C9778F">
        <w:rPr>
          <w:lang w:bidi="ar-SA"/>
        </w:rPr>
        <w:tab/>
      </w:r>
    </w:p>
    <w:p w14:paraId="709E0C66" w14:textId="77777777" w:rsidR="00A8695A" w:rsidRPr="00577DC1" w:rsidRDefault="00A8695A" w:rsidP="00A8695A">
      <w:pPr>
        <w:pStyle w:val="Legalclauselevel2"/>
        <w:numPr>
          <w:ilvl w:val="1"/>
          <w:numId w:val="15"/>
        </w:numPr>
        <w:rPr>
          <w:lang w:bidi="ar-SA"/>
        </w:rPr>
      </w:pPr>
      <w:r w:rsidRPr="00577DC1">
        <w:rPr>
          <w:lang w:bidi="ar-SA"/>
        </w:rPr>
        <w:t xml:space="preserve">Article </w:t>
      </w:r>
      <w:r>
        <w:rPr>
          <w:lang w:bidi="ar-SA"/>
        </w:rPr>
        <w:t>9</w:t>
      </w:r>
      <w:r w:rsidRPr="00577DC1">
        <w:rPr>
          <w:lang w:bidi="ar-SA"/>
        </w:rPr>
        <w:t xml:space="preserve"> shall survive the termination of the Agreement for a period </w:t>
      </w:r>
      <w:r w:rsidRPr="00636103">
        <w:rPr>
          <w:lang w:bidi="ar-SA"/>
        </w:rPr>
        <w:t>of six (6) years</w:t>
      </w:r>
      <w:r w:rsidRPr="00577DC1">
        <w:rPr>
          <w:lang w:bidi="ar-SA"/>
        </w:rPr>
        <w:t xml:space="preserve"> but shall not in any way limit or restrict a disclosing Party's use of its own confidential Information.</w:t>
      </w:r>
    </w:p>
    <w:p w14:paraId="7A4EA148" w14:textId="77777777" w:rsidR="00A8695A" w:rsidRPr="00577DC1" w:rsidRDefault="00A8695A" w:rsidP="00A8695A">
      <w:pPr>
        <w:pStyle w:val="Legalclauselevel1"/>
      </w:pPr>
      <w:r w:rsidRPr="00577DC1">
        <w:t xml:space="preserve">Data Privacy </w:t>
      </w:r>
    </w:p>
    <w:p w14:paraId="358E4DA7" w14:textId="77777777" w:rsidR="00A8695A" w:rsidRPr="00577DC1" w:rsidRDefault="00A8695A" w:rsidP="00A8695A">
      <w:pPr>
        <w:pStyle w:val="Legalclauselevel2"/>
        <w:numPr>
          <w:ilvl w:val="1"/>
          <w:numId w:val="15"/>
        </w:numPr>
        <w:rPr>
          <w:lang w:bidi="ar-SA"/>
        </w:rPr>
      </w:pPr>
      <w:r w:rsidRPr="00577DC1">
        <w:rPr>
          <w:lang w:bidi="ar-SA"/>
        </w:rPr>
        <w:t xml:space="preserve">Each Party’s obligations hereunder to transfer information to the other Party shall not apply to the extent that a Party is prohibited from doing so by the regulations and laws of its own country applicable to data protection. </w:t>
      </w:r>
    </w:p>
    <w:p w14:paraId="2F45DB4E" w14:textId="77777777" w:rsidR="00A8695A" w:rsidRPr="00577DC1" w:rsidRDefault="00A8695A" w:rsidP="00A8695A">
      <w:pPr>
        <w:pStyle w:val="Legalclauselevel2"/>
        <w:numPr>
          <w:ilvl w:val="1"/>
          <w:numId w:val="15"/>
        </w:numPr>
        <w:rPr>
          <w:lang w:bidi="ar-SA"/>
        </w:rPr>
      </w:pPr>
      <w:r w:rsidRPr="00577DC1">
        <w:rPr>
          <w:lang w:bidi="ar-SA"/>
        </w:rPr>
        <w:t>Party B shall inform its customers that on use of the Wi-Fi Inflight Service, the storage, treatment and transfer of their personal data may be subject to regulation different from the regulation in their own country.</w:t>
      </w:r>
    </w:p>
    <w:p w14:paraId="25FB1ECC" w14:textId="77777777" w:rsidR="00A8695A" w:rsidRPr="00577DC1" w:rsidRDefault="00A8695A" w:rsidP="00A8695A">
      <w:pPr>
        <w:pStyle w:val="Legalclauselevel2"/>
        <w:numPr>
          <w:ilvl w:val="1"/>
          <w:numId w:val="15"/>
        </w:numPr>
        <w:rPr>
          <w:lang w:bidi="ar-SA"/>
        </w:rPr>
      </w:pPr>
      <w:r w:rsidRPr="00577DC1">
        <w:rPr>
          <w:lang w:bidi="ar-SA"/>
        </w:rPr>
        <w:t xml:space="preserve">The Parties confirm that they shall comply with the Data Privacy Regulations/Laws applicable in their respective countries. </w:t>
      </w:r>
    </w:p>
    <w:p w14:paraId="2DD93B52" w14:textId="77777777" w:rsidR="00A8695A" w:rsidRPr="00577DC1" w:rsidRDefault="00A8695A" w:rsidP="00A8695A">
      <w:pPr>
        <w:pStyle w:val="Legalclauselevel1"/>
        <w:rPr>
          <w:szCs w:val="24"/>
        </w:rPr>
      </w:pPr>
      <w:r w:rsidRPr="00577DC1">
        <w:t>Fraud Prevention</w:t>
      </w:r>
    </w:p>
    <w:p w14:paraId="01C59002" w14:textId="77777777" w:rsidR="00A8695A" w:rsidRPr="00577DC1" w:rsidRDefault="00A8695A" w:rsidP="00A8695A">
      <w:pPr>
        <w:pStyle w:val="Legalclauselevel2"/>
        <w:numPr>
          <w:ilvl w:val="1"/>
          <w:numId w:val="15"/>
        </w:numPr>
        <w:rPr>
          <w:iCs/>
          <w:lang w:bidi="ar-SA"/>
        </w:rPr>
      </w:pPr>
      <w:r w:rsidRPr="00577DC1">
        <w:rPr>
          <w:lang w:bidi="ar-SA"/>
        </w:rPr>
        <w:t>The Parties shall comply with the procedures and provisions concerning fraudulent or unauthorised use by Customers set out in Annex 5</w:t>
      </w:r>
      <w:r w:rsidRPr="00577DC1">
        <w:rPr>
          <w:iCs/>
          <w:lang w:bidi="ar-SA"/>
        </w:rPr>
        <w:t>.</w:t>
      </w:r>
    </w:p>
    <w:p w14:paraId="133260B1" w14:textId="77777777" w:rsidR="00A8695A" w:rsidRPr="00577DC1" w:rsidRDefault="00A8695A" w:rsidP="00A8695A">
      <w:pPr>
        <w:pStyle w:val="Legalclauselevel2"/>
        <w:numPr>
          <w:ilvl w:val="1"/>
          <w:numId w:val="15"/>
        </w:numPr>
        <w:rPr>
          <w:lang w:bidi="ar-SA"/>
        </w:rPr>
      </w:pPr>
      <w:r w:rsidRPr="00577DC1">
        <w:rPr>
          <w:lang w:bidi="ar-SA"/>
        </w:rPr>
        <w:t xml:space="preserve">Traffic originating from any </w:t>
      </w:r>
      <w:proofErr w:type="gramStart"/>
      <w:r w:rsidRPr="00577DC1">
        <w:rPr>
          <w:lang w:bidi="ar-SA"/>
        </w:rPr>
        <w:t>third party</w:t>
      </w:r>
      <w:proofErr w:type="gramEnd"/>
      <w:r w:rsidRPr="00577DC1">
        <w:rPr>
          <w:lang w:bidi="ar-SA"/>
        </w:rPr>
        <w:t xml:space="preserve"> network shall not be transmitted unless such traffic is explicitly covered by an interworking agreement.</w:t>
      </w:r>
    </w:p>
    <w:p w14:paraId="0EB4101E" w14:textId="77777777" w:rsidR="00A8695A" w:rsidRPr="00577DC1" w:rsidRDefault="00A8695A" w:rsidP="00A8695A">
      <w:pPr>
        <w:pStyle w:val="Legalclauselevel1"/>
      </w:pPr>
      <w:bookmarkStart w:id="60" w:name="_Ref334777116"/>
      <w:r w:rsidRPr="00577DC1">
        <w:t>Liability of the Parties</w:t>
      </w:r>
      <w:bookmarkEnd w:id="60"/>
    </w:p>
    <w:p w14:paraId="2CDB00A7" w14:textId="77777777" w:rsidR="00A8695A" w:rsidRPr="00577DC1" w:rsidRDefault="00A8695A" w:rsidP="00A8695A">
      <w:pPr>
        <w:pStyle w:val="Legalclauselevel2"/>
        <w:numPr>
          <w:ilvl w:val="1"/>
          <w:numId w:val="15"/>
        </w:numPr>
        <w:rPr>
          <w:iCs/>
          <w:lang w:bidi="ar-SA"/>
        </w:rPr>
      </w:pPr>
      <w:bookmarkStart w:id="61" w:name="_Ref334777356"/>
      <w:r w:rsidRPr="00577DC1">
        <w:rPr>
          <w:lang w:bidi="ar-SA"/>
        </w:rPr>
        <w:t>Neither Party shall be liable to the other Party under or in connection with the Agreement except</w:t>
      </w:r>
      <w:r w:rsidRPr="00577DC1">
        <w:rPr>
          <w:iCs/>
          <w:lang w:bidi="ar-SA"/>
        </w:rPr>
        <w:t>:</w:t>
      </w:r>
      <w:bookmarkEnd w:id="61"/>
    </w:p>
    <w:p w14:paraId="68B4D185" w14:textId="77777777" w:rsidR="00A8695A" w:rsidRPr="00577DC1" w:rsidRDefault="00A8695A" w:rsidP="00A8695A">
      <w:pPr>
        <w:pStyle w:val="Legalclauselevel3"/>
        <w:numPr>
          <w:ilvl w:val="2"/>
          <w:numId w:val="15"/>
        </w:numPr>
      </w:pPr>
      <w:r w:rsidRPr="00577DC1">
        <w:t xml:space="preserve">in respect of charges to be paid to &lt;A&gt; pursuant to Article </w:t>
      </w:r>
      <w:proofErr w:type="gramStart"/>
      <w:r w:rsidRPr="00577DC1">
        <w:t>8;</w:t>
      </w:r>
      <w:proofErr w:type="gramEnd"/>
    </w:p>
    <w:p w14:paraId="7BD6C6C3" w14:textId="77777777" w:rsidR="00A8695A" w:rsidRPr="00636103" w:rsidRDefault="00A8695A" w:rsidP="00A8695A">
      <w:pPr>
        <w:pStyle w:val="Legalclauselevel3"/>
        <w:numPr>
          <w:ilvl w:val="2"/>
          <w:numId w:val="15"/>
        </w:numPr>
      </w:pPr>
      <w:r w:rsidRPr="00636103">
        <w:t>to the extent of its negligence where such negligence results in proven damages or loss to the other Party, in which event the liability of the negligent Party shall be limited to and shall in no event exceed two hundred and fifty thousand (250,000) USD/EUR in respect of any one incident or series of incidents arising from the same cause</w:t>
      </w:r>
      <w:r>
        <w:t>.</w:t>
      </w:r>
    </w:p>
    <w:p w14:paraId="799412CF" w14:textId="77777777" w:rsidR="00A8695A" w:rsidRPr="00636103" w:rsidRDefault="00A8695A" w:rsidP="00A8695A">
      <w:pPr>
        <w:pStyle w:val="Legalclauselevel3"/>
        <w:numPr>
          <w:ilvl w:val="2"/>
          <w:numId w:val="15"/>
        </w:numPr>
      </w:pPr>
      <w:r w:rsidRPr="00636103">
        <w:t>in respect of charges arising from non-compliance with Fraud Procedures agreed in Annex 5.</w:t>
      </w:r>
    </w:p>
    <w:p w14:paraId="40A285A9" w14:textId="77777777" w:rsidR="00A8695A" w:rsidRPr="00636103" w:rsidRDefault="00A8695A" w:rsidP="00A8695A">
      <w:pPr>
        <w:pStyle w:val="Legalclauselevel2"/>
        <w:numPr>
          <w:ilvl w:val="1"/>
          <w:numId w:val="15"/>
        </w:numPr>
        <w:rPr>
          <w:lang w:bidi="ar-SA"/>
        </w:rPr>
      </w:pPr>
      <w:bookmarkStart w:id="62" w:name="_Ref334777369"/>
      <w:r w:rsidRPr="00636103">
        <w:rPr>
          <w:lang w:bidi="ar-SA"/>
        </w:rPr>
        <w:t>Save in the case as provided under the applicable law, either Party shall be liable for any consequential or indirect  damage or loss of whatsoever nature, and any loss of profit or loss of business, even if such Party has been advised of the possibility of such loss or damage.</w:t>
      </w:r>
      <w:bookmarkEnd w:id="62"/>
    </w:p>
    <w:p w14:paraId="35EE84FA" w14:textId="77777777" w:rsidR="00A8695A" w:rsidRDefault="00A8695A" w:rsidP="00A8695A">
      <w:pPr>
        <w:pStyle w:val="Legalclauselevel2"/>
        <w:numPr>
          <w:ilvl w:val="1"/>
          <w:numId w:val="15"/>
        </w:numPr>
        <w:rPr>
          <w:lang w:bidi="ar-SA"/>
        </w:rPr>
      </w:pPr>
      <w:r w:rsidRPr="00577DC1">
        <w:rPr>
          <w:lang w:bidi="ar-SA"/>
        </w:rPr>
        <w:t>Limitation of liability as described in this Article shall not apply if damage or loss is caused by a Party's wilful misconduct (including fraud) or gross negligence.</w:t>
      </w:r>
    </w:p>
    <w:p w14:paraId="1A7049D5" w14:textId="77777777" w:rsidR="00A8695A" w:rsidRPr="00636103" w:rsidRDefault="00A8695A" w:rsidP="00A8695A">
      <w:pPr>
        <w:pStyle w:val="Legalclauselevel2"/>
        <w:numPr>
          <w:ilvl w:val="1"/>
          <w:numId w:val="15"/>
        </w:numPr>
        <w:tabs>
          <w:tab w:val="num" w:pos="1418"/>
        </w:tabs>
        <w:rPr>
          <w:lang w:bidi="ar-SA"/>
        </w:rPr>
      </w:pPr>
      <w:r w:rsidRPr="00636103">
        <w:rPr>
          <w:lang w:bidi="ar-SA"/>
        </w:rPr>
        <w:t>Both Parties agree that in case that monetary damages are inadequate for any breach of this Agreement, the aggrieved party may seek indemnities, including specific performance, injunctive relief, and other equitable remedies.</w:t>
      </w:r>
    </w:p>
    <w:p w14:paraId="60CD3024" w14:textId="77777777" w:rsidR="00A8695A" w:rsidRPr="00577DC1" w:rsidRDefault="00A8695A" w:rsidP="00A8695A">
      <w:pPr>
        <w:pStyle w:val="Legalclauselevel1"/>
      </w:pPr>
      <w:bookmarkStart w:id="63" w:name="_Ref334778476"/>
      <w:r w:rsidRPr="00577DC1">
        <w:t>Suspension of Services</w:t>
      </w:r>
      <w:bookmarkEnd w:id="63"/>
    </w:p>
    <w:p w14:paraId="3ABCC506" w14:textId="77777777" w:rsidR="00A8695A" w:rsidRPr="00577DC1" w:rsidRDefault="00A8695A" w:rsidP="00A8695A">
      <w:pPr>
        <w:pStyle w:val="Legalclauselevel2"/>
        <w:numPr>
          <w:ilvl w:val="1"/>
          <w:numId w:val="15"/>
        </w:numPr>
        <w:rPr>
          <w:iCs/>
          <w:lang w:bidi="ar-SA"/>
        </w:rPr>
      </w:pPr>
      <w:r w:rsidRPr="00577DC1">
        <w:rPr>
          <w:lang w:bidi="ar-SA"/>
        </w:rPr>
        <w:t>Notwithstanding anything in the Agreement to the contrary, &lt;A&gt; may without liability suspend or terminate all or any of its Services to Customer(s) including but not limited to</w:t>
      </w:r>
      <w:r w:rsidRPr="00577DC1">
        <w:rPr>
          <w:iCs/>
          <w:lang w:bidi="ar-SA"/>
        </w:rPr>
        <w:t>:</w:t>
      </w:r>
    </w:p>
    <w:p w14:paraId="76DF38E4" w14:textId="77777777" w:rsidR="00A8695A" w:rsidRPr="00577DC1" w:rsidRDefault="00A8695A" w:rsidP="00A8695A">
      <w:pPr>
        <w:pStyle w:val="Legalclauselevel3"/>
        <w:numPr>
          <w:ilvl w:val="2"/>
          <w:numId w:val="15"/>
        </w:numPr>
      </w:pPr>
      <w:r w:rsidRPr="00577DC1">
        <w:t>Customers using equipment which is defective or illegal; or</w:t>
      </w:r>
    </w:p>
    <w:p w14:paraId="6C966821" w14:textId="77777777" w:rsidR="00A8695A" w:rsidRPr="00577DC1" w:rsidRDefault="00A8695A" w:rsidP="00A8695A">
      <w:pPr>
        <w:pStyle w:val="Legalclauselevel3"/>
        <w:numPr>
          <w:ilvl w:val="2"/>
          <w:numId w:val="15"/>
        </w:numPr>
      </w:pPr>
      <w:r w:rsidRPr="00577DC1">
        <w:t>Customers causing any technical or other problems on &lt;A&gt;’s Airplane; or</w:t>
      </w:r>
    </w:p>
    <w:p w14:paraId="6125AA01" w14:textId="77777777" w:rsidR="00A8695A" w:rsidRPr="00577DC1" w:rsidRDefault="00A8695A" w:rsidP="00A8695A">
      <w:pPr>
        <w:pStyle w:val="Legalclauselevel3"/>
        <w:numPr>
          <w:ilvl w:val="2"/>
          <w:numId w:val="15"/>
        </w:numPr>
      </w:pPr>
      <w:r w:rsidRPr="00577DC1">
        <w:t>suspected fraudulent or unauthorised use; or</w:t>
      </w:r>
    </w:p>
    <w:p w14:paraId="7CF7D77B" w14:textId="77777777" w:rsidR="00A8695A" w:rsidRPr="00577DC1" w:rsidRDefault="00A8695A" w:rsidP="00A8695A">
      <w:pPr>
        <w:pStyle w:val="Legalclauselevel3"/>
        <w:numPr>
          <w:ilvl w:val="2"/>
          <w:numId w:val="15"/>
        </w:numPr>
      </w:pPr>
      <w:r w:rsidRPr="00577DC1">
        <w:t>authentication of the legal relationship not being possible; or</w:t>
      </w:r>
    </w:p>
    <w:p w14:paraId="4B1271D5" w14:textId="77777777" w:rsidR="00A8695A" w:rsidRPr="00577DC1" w:rsidRDefault="00A8695A" w:rsidP="00A8695A">
      <w:pPr>
        <w:pStyle w:val="Legalclauselevel3"/>
        <w:numPr>
          <w:ilvl w:val="2"/>
          <w:numId w:val="15"/>
        </w:numPr>
      </w:pPr>
      <w:r w:rsidRPr="00577DC1">
        <w:t>maintenance or enhancement of its Wi-Fi Inflight Service or</w:t>
      </w:r>
    </w:p>
    <w:p w14:paraId="1DA5E4CD" w14:textId="77777777" w:rsidR="00A8695A" w:rsidRPr="00577DC1" w:rsidRDefault="00A8695A" w:rsidP="00A8695A">
      <w:pPr>
        <w:pStyle w:val="Legalclauselevel3"/>
        <w:numPr>
          <w:ilvl w:val="2"/>
          <w:numId w:val="15"/>
        </w:numPr>
      </w:pPr>
      <w:r w:rsidRPr="00577DC1">
        <w:t xml:space="preserve">Suspension for </w:t>
      </w:r>
      <w:proofErr w:type="spellStart"/>
      <w:proofErr w:type="gramStart"/>
      <w:r w:rsidRPr="00577DC1">
        <w:t>non payment</w:t>
      </w:r>
      <w:proofErr w:type="spellEnd"/>
      <w:proofErr w:type="gramEnd"/>
      <w:r w:rsidRPr="00577DC1">
        <w:t xml:space="preserve"> </w:t>
      </w:r>
      <w:proofErr w:type="gramStart"/>
      <w:r w:rsidRPr="00577DC1">
        <w:t>in excess of</w:t>
      </w:r>
      <w:proofErr w:type="gramEnd"/>
      <w:r w:rsidRPr="00577DC1">
        <w:t xml:space="preserve"> 3 months.</w:t>
      </w:r>
    </w:p>
    <w:p w14:paraId="00475FF2" w14:textId="77777777" w:rsidR="00A8695A" w:rsidRPr="00577DC1" w:rsidRDefault="00A8695A" w:rsidP="00A8695A">
      <w:pPr>
        <w:pStyle w:val="Legalclauselevel2"/>
        <w:numPr>
          <w:ilvl w:val="1"/>
          <w:numId w:val="15"/>
        </w:numPr>
        <w:rPr>
          <w:lang w:bidi="ar-SA"/>
        </w:rPr>
      </w:pPr>
      <w:bookmarkStart w:id="64" w:name="_Ref334778307"/>
      <w:r w:rsidRPr="00577DC1">
        <w:rPr>
          <w:lang w:bidi="ar-SA"/>
        </w:rPr>
        <w:t>In case of a proposed suspension of Services to all Customers, &lt;A&gt; shall use commercially reasonable efforts to give four (4) weeks written notice (shorter notice may apply given the circumstances related to the suspension) to &lt;B&gt; prior to the suspension taking effect.</w:t>
      </w:r>
      <w:r>
        <w:rPr>
          <w:lang w:bidi="ar-SA"/>
        </w:rPr>
        <w:t xml:space="preserve"> </w:t>
      </w:r>
      <w:r w:rsidRPr="00577DC1">
        <w:rPr>
          <w:lang w:bidi="ar-SA"/>
        </w:rPr>
        <w:t>If the suspension continues for more than six (6) months, &lt;B&gt; shall have the right to terminate the Agreement with immediate effect by written notice.</w:t>
      </w:r>
      <w:bookmarkEnd w:id="64"/>
    </w:p>
    <w:p w14:paraId="4D3887BA" w14:textId="77777777" w:rsidR="00A8695A" w:rsidRPr="00577DC1" w:rsidRDefault="00A8695A" w:rsidP="00A8695A">
      <w:pPr>
        <w:pStyle w:val="Legalclauselevel2"/>
        <w:numPr>
          <w:ilvl w:val="1"/>
          <w:numId w:val="15"/>
        </w:numPr>
        <w:rPr>
          <w:lang w:bidi="ar-SA"/>
        </w:rPr>
      </w:pPr>
      <w:r w:rsidRPr="00577DC1">
        <w:rPr>
          <w:lang w:bidi="ar-SA"/>
        </w:rPr>
        <w:t>&lt;B&gt; has the right at any time, for technical reasons, without liability but upon detailed written notice to &lt;A&gt;, to suspend access to the Services to its Customers.</w:t>
      </w:r>
      <w:r>
        <w:rPr>
          <w:lang w:bidi="ar-SA"/>
        </w:rPr>
        <w:t xml:space="preserve"> </w:t>
      </w:r>
      <w:r w:rsidRPr="00577DC1">
        <w:rPr>
          <w:lang w:bidi="ar-SA"/>
        </w:rPr>
        <w:t xml:space="preserve">Alternatively, if in the opinion of &lt;A&gt; it is technically more practicable &lt;B&gt; may request that &lt;A&gt; suspend </w:t>
      </w:r>
      <w:proofErr w:type="gramStart"/>
      <w:r w:rsidRPr="00577DC1">
        <w:rPr>
          <w:lang w:bidi="ar-SA"/>
        </w:rPr>
        <w:t>all of</w:t>
      </w:r>
      <w:proofErr w:type="gramEnd"/>
      <w:r w:rsidRPr="00577DC1">
        <w:rPr>
          <w:lang w:bidi="ar-SA"/>
        </w:rPr>
        <w:t xml:space="preserve"> its Services to Customers of &lt;B&gt;.</w:t>
      </w:r>
      <w:r>
        <w:rPr>
          <w:lang w:bidi="ar-SA"/>
        </w:rPr>
        <w:t xml:space="preserve"> </w:t>
      </w:r>
      <w:r w:rsidRPr="00577DC1">
        <w:rPr>
          <w:lang w:bidi="ar-SA"/>
        </w:rPr>
        <w:t>&lt;A&gt; shall use commercially reasonable efforts to comply with such requirement within seven (7) calendar days after receipt of the said notice.</w:t>
      </w:r>
    </w:p>
    <w:p w14:paraId="0CBBC8FC" w14:textId="77777777" w:rsidR="00A8695A" w:rsidRPr="00577DC1" w:rsidRDefault="00A8695A" w:rsidP="00A8695A">
      <w:pPr>
        <w:pStyle w:val="Legalclauselevel2"/>
        <w:numPr>
          <w:ilvl w:val="1"/>
          <w:numId w:val="15"/>
        </w:numPr>
        <w:rPr>
          <w:lang w:bidi="ar-SA"/>
        </w:rPr>
      </w:pPr>
      <w:r w:rsidRPr="00577DC1">
        <w:rPr>
          <w:lang w:bidi="ar-SA"/>
        </w:rPr>
        <w:t>The Parties agree that the suspension shall be removed as soon as the technical reason for the suspension has been overcome by &lt;A&gt; or &lt;B</w:t>
      </w:r>
      <w:proofErr w:type="gramStart"/>
      <w:r w:rsidRPr="00577DC1">
        <w:rPr>
          <w:lang w:bidi="ar-SA"/>
        </w:rPr>
        <w:t>&gt; as the case may be</w:t>
      </w:r>
      <w:proofErr w:type="gramEnd"/>
      <w:r w:rsidRPr="00577DC1">
        <w:rPr>
          <w:lang w:bidi="ar-SA"/>
        </w:rPr>
        <w:t>.</w:t>
      </w:r>
      <w:r>
        <w:rPr>
          <w:lang w:bidi="ar-SA"/>
        </w:rPr>
        <w:t xml:space="preserve">  </w:t>
      </w:r>
    </w:p>
    <w:p w14:paraId="1B1A2851" w14:textId="77777777" w:rsidR="00A8695A" w:rsidRPr="00577DC1" w:rsidRDefault="00A8695A" w:rsidP="00A8695A">
      <w:pPr>
        <w:pStyle w:val="Legalclauselevel1"/>
      </w:pPr>
      <w:r w:rsidRPr="00577DC1">
        <w:t>Force Majeure</w:t>
      </w:r>
    </w:p>
    <w:p w14:paraId="55896AD0" w14:textId="77777777" w:rsidR="00A8695A" w:rsidRPr="00577DC1" w:rsidRDefault="00A8695A" w:rsidP="00A8695A">
      <w:pPr>
        <w:pStyle w:val="Legalclauselevel2"/>
        <w:numPr>
          <w:ilvl w:val="1"/>
          <w:numId w:val="15"/>
        </w:numPr>
        <w:rPr>
          <w:lang w:bidi="ar-SA"/>
        </w:rPr>
      </w:pPr>
      <w:bookmarkStart w:id="65" w:name="_Ref334777969"/>
      <w:r w:rsidRPr="00577DC1">
        <w:rPr>
          <w:lang w:bidi="ar-SA"/>
        </w:rPr>
        <w:t>Non-performance of either Party’s obligations pursuant to the Agreement or delay in performing same (except with respect to the payment of charges applicable hereunder) shall not constitute a breach of the Agreement if, and for as long as, it is due to a force majeure event, including, but not being limited to, governmental action, or the imposition or administration of any applicable and mandatory Export Control Laws and/or Sanctions (as defined in Article 19.8 below), or requirement of regulatory authority, lockouts, strikes, shortage of transportation, war, rebellion or other military action, fire, flood, natural catastrophes, or any other unforeseeable obstacles that a Party is not able to overcome with reasonable efforts, or non-performance of obligations by a sub-contractor to a Party pursuant to any of the aforementioned reasons.</w:t>
      </w:r>
      <w:r>
        <w:rPr>
          <w:lang w:bidi="ar-SA"/>
        </w:rPr>
        <w:t xml:space="preserve"> </w:t>
      </w:r>
      <w:r w:rsidRPr="00577DC1">
        <w:rPr>
          <w:lang w:bidi="ar-SA"/>
        </w:rPr>
        <w:t>The Party prevented from fulfilling its obligations shall on becoming aware of such event inform the other Party in writing of such force majeure event as soon as possible.</w:t>
      </w:r>
      <w:r>
        <w:rPr>
          <w:lang w:bidi="ar-SA"/>
        </w:rPr>
        <w:t xml:space="preserve"> </w:t>
      </w:r>
      <w:r w:rsidRPr="00577DC1">
        <w:rPr>
          <w:lang w:bidi="ar-SA"/>
        </w:rPr>
        <w:t>If the force majeure event continues for more than six (6) months, either Party shall have the right to terminate the Agreement with immediate effect by written notice.</w:t>
      </w:r>
      <w:bookmarkEnd w:id="65"/>
      <w:r w:rsidRPr="00577DC1">
        <w:rPr>
          <w:lang w:bidi="ar-SA"/>
        </w:rPr>
        <w:t xml:space="preserve"> This right of termination is without limitation to the right of a Party to immediately terminate this Agreement in the event the other Party does not comply with Article 1</w:t>
      </w:r>
      <w:r>
        <w:rPr>
          <w:lang w:bidi="ar-SA"/>
        </w:rPr>
        <w:t>8</w:t>
      </w:r>
      <w:r w:rsidRPr="00577DC1">
        <w:rPr>
          <w:lang w:bidi="ar-SA"/>
        </w:rPr>
        <w:t>.8 (Export Control Law and Sanctions compliance). The terminating Party will duly inform the other Party of the applicable sanction.</w:t>
      </w:r>
    </w:p>
    <w:p w14:paraId="13D3A108" w14:textId="77777777" w:rsidR="00A8695A" w:rsidRPr="00577DC1" w:rsidRDefault="00A8695A" w:rsidP="00A8695A">
      <w:pPr>
        <w:pStyle w:val="Legalclauselevel2"/>
        <w:numPr>
          <w:ilvl w:val="1"/>
          <w:numId w:val="15"/>
        </w:numPr>
        <w:rPr>
          <w:lang w:bidi="ar-SA"/>
        </w:rPr>
      </w:pPr>
      <w:r w:rsidRPr="00577DC1">
        <w:rPr>
          <w:lang w:bidi="ar-SA"/>
        </w:rPr>
        <w:t xml:space="preserve"> If the affected Party fails to inform the other Party of the occurrence of a force majeure event as set forth in Article 1</w:t>
      </w:r>
      <w:r>
        <w:rPr>
          <w:lang w:bidi="ar-SA"/>
        </w:rPr>
        <w:t>3</w:t>
      </w:r>
      <w:r w:rsidRPr="00577DC1">
        <w:rPr>
          <w:lang w:bidi="ar-SA"/>
        </w:rPr>
        <w:t>.1 above, then such Party thereafter shall not be entitled to refer such events to force majeure as a reason for non-fulfilment.</w:t>
      </w:r>
      <w:r>
        <w:rPr>
          <w:lang w:bidi="ar-SA"/>
        </w:rPr>
        <w:t xml:space="preserve"> </w:t>
      </w:r>
      <w:r w:rsidRPr="00577DC1">
        <w:rPr>
          <w:lang w:bidi="ar-SA"/>
        </w:rPr>
        <w:t xml:space="preserve">This obligation does not apply if the force majeure event is known by both Parties </w:t>
      </w:r>
      <w:proofErr w:type="gramStart"/>
      <w:r w:rsidRPr="00577DC1">
        <w:rPr>
          <w:lang w:bidi="ar-SA"/>
        </w:rPr>
        <w:t>or</w:t>
      </w:r>
      <w:proofErr w:type="gramEnd"/>
      <w:r w:rsidRPr="00577DC1">
        <w:rPr>
          <w:lang w:bidi="ar-SA"/>
        </w:rPr>
        <w:t xml:space="preserve"> the affected Party is unable to inform the other Party due to the force majeure event. </w:t>
      </w:r>
    </w:p>
    <w:p w14:paraId="38D55FDC" w14:textId="77777777" w:rsidR="00A8695A" w:rsidRPr="00577DC1" w:rsidRDefault="00A8695A" w:rsidP="00A8695A">
      <w:pPr>
        <w:pStyle w:val="Legalclauselevel1"/>
      </w:pPr>
      <w:bookmarkStart w:id="66" w:name="_Ref334778363"/>
      <w:r w:rsidRPr="00577DC1">
        <w:t>Duration of the Agreement</w:t>
      </w:r>
      <w:bookmarkEnd w:id="66"/>
    </w:p>
    <w:p w14:paraId="6CCB5E59" w14:textId="77777777" w:rsidR="00A8695A" w:rsidRPr="00577DC1" w:rsidRDefault="00A8695A" w:rsidP="00A8695A">
      <w:pPr>
        <w:pStyle w:val="Legalclauselevel2"/>
        <w:numPr>
          <w:ilvl w:val="1"/>
          <w:numId w:val="15"/>
        </w:numPr>
        <w:rPr>
          <w:lang w:bidi="ar-SA"/>
        </w:rPr>
      </w:pPr>
      <w:r w:rsidRPr="00577DC1">
        <w:rPr>
          <w:lang w:bidi="ar-SA"/>
        </w:rPr>
        <w:t>The Agreement comes into force on the Date of the Agreement and subject to the conditions of Articles 1</w:t>
      </w:r>
      <w:r>
        <w:rPr>
          <w:lang w:bidi="ar-SA"/>
        </w:rPr>
        <w:t>3</w:t>
      </w:r>
      <w:r w:rsidRPr="00577DC1">
        <w:rPr>
          <w:lang w:bidi="ar-SA"/>
        </w:rPr>
        <w:t>, 1</w:t>
      </w:r>
      <w:r>
        <w:rPr>
          <w:lang w:bidi="ar-SA"/>
        </w:rPr>
        <w:t>4</w:t>
      </w:r>
      <w:r w:rsidRPr="00577DC1">
        <w:rPr>
          <w:lang w:bidi="ar-SA"/>
        </w:rPr>
        <w:t>.1 and 1</w:t>
      </w:r>
      <w:r>
        <w:rPr>
          <w:lang w:bidi="ar-SA"/>
        </w:rPr>
        <w:t>6</w:t>
      </w:r>
      <w:r w:rsidRPr="00577DC1">
        <w:rPr>
          <w:lang w:bidi="ar-SA"/>
        </w:rPr>
        <w:t xml:space="preserve"> shall remain in force unless terminated by one of the Parties in writing subject to a period of notice of six (6) months.</w:t>
      </w:r>
    </w:p>
    <w:p w14:paraId="50EF7DF5" w14:textId="77777777" w:rsidR="00A8695A" w:rsidRPr="00577DC1" w:rsidRDefault="00A8695A" w:rsidP="00A8695A">
      <w:pPr>
        <w:pStyle w:val="Legalclauselevel1"/>
      </w:pPr>
      <w:bookmarkStart w:id="67" w:name="_Ref334778008"/>
      <w:r w:rsidRPr="00577DC1">
        <w:t>Termination of the Agreement</w:t>
      </w:r>
      <w:bookmarkEnd w:id="67"/>
    </w:p>
    <w:p w14:paraId="0EC00323" w14:textId="77777777" w:rsidR="00A8695A" w:rsidRPr="00577DC1" w:rsidRDefault="00A8695A" w:rsidP="00A8695A">
      <w:pPr>
        <w:pStyle w:val="Legalclauselevel2"/>
        <w:numPr>
          <w:ilvl w:val="1"/>
          <w:numId w:val="15"/>
        </w:numPr>
        <w:rPr>
          <w:lang w:bidi="ar-SA"/>
        </w:rPr>
      </w:pPr>
      <w:bookmarkStart w:id="68" w:name="_Ref334778749"/>
      <w:r w:rsidRPr="00577DC1">
        <w:rPr>
          <w:lang w:bidi="ar-SA"/>
        </w:rPr>
        <w:t>In addition to the conditions of Articles 1</w:t>
      </w:r>
      <w:r>
        <w:rPr>
          <w:lang w:bidi="ar-SA"/>
        </w:rPr>
        <w:t>3</w:t>
      </w:r>
      <w:r w:rsidRPr="00577DC1">
        <w:rPr>
          <w:lang w:bidi="ar-SA"/>
        </w:rPr>
        <w:t>, 1</w:t>
      </w:r>
      <w:r>
        <w:rPr>
          <w:lang w:bidi="ar-SA"/>
        </w:rPr>
        <w:t>4</w:t>
      </w:r>
      <w:r w:rsidRPr="00577DC1">
        <w:rPr>
          <w:lang w:bidi="ar-SA"/>
        </w:rPr>
        <w:t>.1 and 1</w:t>
      </w:r>
      <w:r>
        <w:rPr>
          <w:lang w:bidi="ar-SA"/>
        </w:rPr>
        <w:t>5</w:t>
      </w:r>
      <w:r w:rsidRPr="00577DC1">
        <w:rPr>
          <w:lang w:bidi="ar-SA"/>
        </w:rPr>
        <w:t xml:space="preserve"> the Agreement may be terminated as follows:</w:t>
      </w:r>
      <w:bookmarkEnd w:id="68"/>
    </w:p>
    <w:p w14:paraId="7745151A" w14:textId="77777777" w:rsidR="00A8695A" w:rsidRPr="00577DC1" w:rsidRDefault="00A8695A" w:rsidP="00A8695A">
      <w:pPr>
        <w:pStyle w:val="Legalclauselevel3"/>
        <w:numPr>
          <w:ilvl w:val="2"/>
          <w:numId w:val="15"/>
        </w:numPr>
      </w:pPr>
      <w:bookmarkStart w:id="69" w:name="_Ref334778730"/>
      <w:r w:rsidRPr="00577DC1">
        <w:t>by mutual agreement of the Parties; or</w:t>
      </w:r>
      <w:bookmarkEnd w:id="69"/>
    </w:p>
    <w:p w14:paraId="304779E9" w14:textId="77777777" w:rsidR="00A8695A" w:rsidRPr="00577DC1" w:rsidRDefault="00A8695A" w:rsidP="00A8695A">
      <w:pPr>
        <w:pStyle w:val="Legalclauselevel3"/>
        <w:numPr>
          <w:ilvl w:val="2"/>
          <w:numId w:val="15"/>
        </w:numPr>
      </w:pPr>
      <w:bookmarkStart w:id="70" w:name="_Ref334778725"/>
      <w:r w:rsidRPr="00577DC1">
        <w:t xml:space="preserve">by one of the Parties, with immediate effect, when the other Party is in material breach of the Agreement and does not or is not capable of remedying such breach within sixty (60) days of receipt of a written notice to such </w:t>
      </w:r>
      <w:proofErr w:type="gramStart"/>
      <w:r w:rsidRPr="00577DC1">
        <w:t>effect;</w:t>
      </w:r>
      <w:bookmarkEnd w:id="70"/>
      <w:proofErr w:type="gramEnd"/>
    </w:p>
    <w:p w14:paraId="411CB60A" w14:textId="77777777" w:rsidR="00A8695A" w:rsidRPr="00577DC1" w:rsidRDefault="00A8695A" w:rsidP="00A8695A">
      <w:pPr>
        <w:pStyle w:val="Legalclauselevel3"/>
        <w:numPr>
          <w:ilvl w:val="2"/>
          <w:numId w:val="15"/>
        </w:numPr>
      </w:pPr>
      <w:r w:rsidRPr="00577DC1">
        <w:t xml:space="preserve">by one of the Parties, with immediate effect, if the other Party becomes bankrupt or insolvent or if that other Party </w:t>
      </w:r>
      <w:proofErr w:type="gramStart"/>
      <w:r w:rsidRPr="00577DC1">
        <w:t>enters into</w:t>
      </w:r>
      <w:proofErr w:type="gramEnd"/>
      <w:r w:rsidRPr="00577DC1">
        <w:t xml:space="preserve"> any composition or arrangement with its creditors and that other Party is not able to ensure performance of its obligations under the Agreement by a guarantee from a first</w:t>
      </w:r>
      <w:r>
        <w:t>-</w:t>
      </w:r>
      <w:r w:rsidRPr="00577DC1">
        <w:t xml:space="preserve">class bank, payable on first written </w:t>
      </w:r>
      <w:proofErr w:type="gramStart"/>
      <w:r w:rsidRPr="00577DC1">
        <w:t>demand;</w:t>
      </w:r>
      <w:proofErr w:type="gramEnd"/>
    </w:p>
    <w:p w14:paraId="058061AC" w14:textId="77777777" w:rsidR="00A8695A" w:rsidRPr="00577DC1" w:rsidRDefault="00A8695A" w:rsidP="00A8695A">
      <w:pPr>
        <w:pStyle w:val="Legalclauselevel3"/>
        <w:numPr>
          <w:ilvl w:val="2"/>
          <w:numId w:val="15"/>
        </w:numPr>
      </w:pPr>
      <w:r w:rsidRPr="00577DC1">
        <w:t>by written notice of either Party to the other in the event that the Wi-Fi Inflight Service becomes technically or commercially impracticable and the provisions set out in Article 1</w:t>
      </w:r>
      <w:r>
        <w:t>3</w:t>
      </w:r>
      <w:r w:rsidRPr="00577DC1">
        <w:t xml:space="preserve"> are not sufficient to solve the problem or if an unacceptable level of unauthorized use occurs and the other Party is not capable of remedying such unauthorized use within sixty (60) days of receipt of a written notice to such effect; or</w:t>
      </w:r>
    </w:p>
    <w:p w14:paraId="292FB444" w14:textId="77777777" w:rsidR="00A8695A" w:rsidRPr="00577DC1" w:rsidRDefault="00A8695A" w:rsidP="00A8695A">
      <w:pPr>
        <w:pStyle w:val="Legalclauselevel3"/>
        <w:numPr>
          <w:ilvl w:val="2"/>
          <w:numId w:val="15"/>
        </w:numPr>
      </w:pPr>
      <w:r w:rsidRPr="00577DC1">
        <w:t>subject to Article 1</w:t>
      </w:r>
      <w:r>
        <w:t>8</w:t>
      </w:r>
      <w:r w:rsidRPr="00577DC1">
        <w:t xml:space="preserve">.1 immediately in the event a final order by the relevant governmental authority revoking or denying renewal of the license(s) or permission to operate granted to either Party, or any other license necessary to operate the </w:t>
      </w:r>
      <w:r>
        <w:t>s</w:t>
      </w:r>
      <w:r w:rsidRPr="00577DC1">
        <w:t>ervice(s), takes effect.</w:t>
      </w:r>
    </w:p>
    <w:p w14:paraId="262351B2" w14:textId="77777777" w:rsidR="00A8695A" w:rsidRPr="00577DC1" w:rsidRDefault="00A8695A" w:rsidP="00A8695A">
      <w:pPr>
        <w:pStyle w:val="Legalclauselevel2"/>
        <w:numPr>
          <w:ilvl w:val="1"/>
          <w:numId w:val="15"/>
        </w:numPr>
        <w:rPr>
          <w:lang w:bidi="ar-SA"/>
        </w:rPr>
      </w:pPr>
      <w:r w:rsidRPr="00577DC1">
        <w:rPr>
          <w:lang w:bidi="ar-SA"/>
        </w:rPr>
        <w:t>In the event of termination on the grounds of a breach of the Agreement under the Article 1</w:t>
      </w:r>
      <w:r>
        <w:rPr>
          <w:lang w:bidi="ar-SA"/>
        </w:rPr>
        <w:t>6</w:t>
      </w:r>
      <w:r w:rsidRPr="00577DC1">
        <w:rPr>
          <w:lang w:bidi="ar-SA"/>
        </w:rPr>
        <w:t>.1.2, the Party in breach shall, notwithstanding Article 1</w:t>
      </w:r>
      <w:r>
        <w:rPr>
          <w:lang w:bidi="ar-SA"/>
        </w:rPr>
        <w:t>2</w:t>
      </w:r>
      <w:r w:rsidRPr="00577DC1">
        <w:rPr>
          <w:lang w:bidi="ar-SA"/>
        </w:rPr>
        <w:t xml:space="preserve">.2, be liable to the other Party (in addition to charges properly due and payable to &lt;A&gt;) for proven direct damage or loss (excluding indirect or consequential damage or loss) arising as a consequence of such breach up to a maximum aggregate liability of two hundred and fifty thousand (250,000) </w:t>
      </w:r>
      <w:r>
        <w:rPr>
          <w:lang w:bidi="ar-SA"/>
        </w:rPr>
        <w:t>EUR/USD</w:t>
      </w:r>
      <w:r w:rsidRPr="00577DC1">
        <w:rPr>
          <w:lang w:bidi="ar-SA"/>
        </w:rPr>
        <w:t>, provided, however, that such limitation of liability shall not apply if a damage or loss is caused by a Party's wilful misconduct or gross negligence.</w:t>
      </w:r>
    </w:p>
    <w:p w14:paraId="3401EDF6" w14:textId="77777777" w:rsidR="00A8695A" w:rsidRPr="00577DC1" w:rsidRDefault="00A8695A" w:rsidP="00A8695A">
      <w:pPr>
        <w:pStyle w:val="Legalclauselevel1"/>
      </w:pPr>
      <w:r w:rsidRPr="00577DC1">
        <w:t>Changes to the Agreement, Annexes and Addenda</w:t>
      </w:r>
    </w:p>
    <w:p w14:paraId="4912B71B" w14:textId="77777777" w:rsidR="00A8695A" w:rsidRPr="00577DC1" w:rsidRDefault="00A8695A" w:rsidP="00A8695A">
      <w:pPr>
        <w:pStyle w:val="Legalclauselevel2"/>
        <w:numPr>
          <w:ilvl w:val="1"/>
          <w:numId w:val="15"/>
        </w:numPr>
        <w:rPr>
          <w:iCs/>
          <w:lang w:bidi="ar-SA"/>
        </w:rPr>
      </w:pPr>
      <w:bookmarkStart w:id="71" w:name="_Ref335114890"/>
      <w:r w:rsidRPr="00577DC1">
        <w:rPr>
          <w:lang w:bidi="ar-SA"/>
        </w:rPr>
        <w:t>Any amendments and/or additions to the Agreement and/or Annexes and/or Addenda shall be valid only if made in writing and signed or e-signed by duly authorized representatives of both Parties hereto</w:t>
      </w:r>
      <w:r w:rsidRPr="00577DC1">
        <w:rPr>
          <w:iCs/>
          <w:lang w:bidi="ar-SA"/>
        </w:rPr>
        <w:t>.</w:t>
      </w:r>
      <w:bookmarkEnd w:id="71"/>
    </w:p>
    <w:p w14:paraId="6E075E3F" w14:textId="77777777" w:rsidR="00A8695A" w:rsidRPr="00577DC1" w:rsidRDefault="00A8695A" w:rsidP="00A8695A">
      <w:pPr>
        <w:pStyle w:val="Legalclauselevel2"/>
        <w:numPr>
          <w:ilvl w:val="1"/>
          <w:numId w:val="15"/>
        </w:numPr>
        <w:rPr>
          <w:iCs/>
          <w:lang w:bidi="ar-SA"/>
        </w:rPr>
      </w:pPr>
      <w:bookmarkStart w:id="72" w:name="_Ref335115545"/>
      <w:bookmarkStart w:id="73" w:name="_DV_C289"/>
      <w:r w:rsidRPr="00577DC1">
        <w:rPr>
          <w:iCs/>
          <w:lang w:bidi="ar-SA"/>
        </w:rPr>
        <w:t>Notwithstanding Article 1</w:t>
      </w:r>
      <w:r>
        <w:rPr>
          <w:iCs/>
          <w:lang w:bidi="ar-SA"/>
        </w:rPr>
        <w:t>7</w:t>
      </w:r>
      <w:r w:rsidRPr="00577DC1">
        <w:rPr>
          <w:iCs/>
          <w:lang w:bidi="ar-SA"/>
        </w:rPr>
        <w:t>.1 &lt;A&gt; shall be entitled to:</w:t>
      </w:r>
      <w:bookmarkEnd w:id="72"/>
      <w:r w:rsidRPr="00577DC1">
        <w:rPr>
          <w:iCs/>
          <w:lang w:bidi="ar-SA"/>
        </w:rPr>
        <w:t xml:space="preserve"> </w:t>
      </w:r>
      <w:bookmarkEnd w:id="73"/>
    </w:p>
    <w:p w14:paraId="2BB7961E" w14:textId="77777777" w:rsidR="00A8695A" w:rsidRPr="00577DC1" w:rsidRDefault="00A8695A" w:rsidP="00A8695A">
      <w:pPr>
        <w:pStyle w:val="Legalclauselevel3"/>
        <w:numPr>
          <w:ilvl w:val="2"/>
          <w:numId w:val="15"/>
        </w:numPr>
      </w:pPr>
      <w:bookmarkStart w:id="74" w:name="_DV_C290"/>
      <w:r w:rsidRPr="00577DC1">
        <w:t>change the Service as it sees fit subject to the successful completion of all network and billing test procedures as set out in the Technical Specifications and the GSM Association Permanent Reference Documents, as requested by either Party.</w:t>
      </w:r>
      <w:r>
        <w:t xml:space="preserve"> </w:t>
      </w:r>
      <w:r w:rsidRPr="00577DC1">
        <w:t xml:space="preserve">&lt;A&gt; agrees to use its reasonable efforts to give the other Party at least thirty (30) days prior written notice of any change to the </w:t>
      </w:r>
      <w:proofErr w:type="gramStart"/>
      <w:r>
        <w:t>s</w:t>
      </w:r>
      <w:r w:rsidRPr="00577DC1">
        <w:t>ervice;</w:t>
      </w:r>
      <w:bookmarkEnd w:id="74"/>
      <w:proofErr w:type="gramEnd"/>
      <w:r w:rsidRPr="00577DC1">
        <w:t xml:space="preserve"> </w:t>
      </w:r>
    </w:p>
    <w:p w14:paraId="3D06C0DC" w14:textId="77777777" w:rsidR="00A8695A" w:rsidRPr="00577DC1" w:rsidRDefault="00A8695A" w:rsidP="00A8695A">
      <w:pPr>
        <w:pStyle w:val="Legalclauselevel3"/>
        <w:numPr>
          <w:ilvl w:val="2"/>
          <w:numId w:val="15"/>
        </w:numPr>
      </w:pPr>
      <w:bookmarkStart w:id="75" w:name="_DV_C292"/>
      <w:r w:rsidRPr="00577DC1">
        <w:t xml:space="preserve">terminate the </w:t>
      </w:r>
      <w:r>
        <w:t>s</w:t>
      </w:r>
      <w:r w:rsidRPr="00577DC1">
        <w:t>ervice offered to &lt;B&gt; as it sees fit.</w:t>
      </w:r>
      <w:r>
        <w:t xml:space="preserve"> </w:t>
      </w:r>
      <w:r w:rsidRPr="00577DC1">
        <w:t>&lt;A&gt; agrees to use its reasonable efforts to give &lt;B&gt; at least sixty (60) days prior written notice of any termination of the Service;</w:t>
      </w:r>
      <w:bookmarkEnd w:id="75"/>
      <w:r w:rsidRPr="00577DC1">
        <w:t xml:space="preserve"> or</w:t>
      </w:r>
    </w:p>
    <w:p w14:paraId="47218818" w14:textId="77777777" w:rsidR="00A8695A" w:rsidRPr="00577DC1" w:rsidRDefault="00A8695A" w:rsidP="00A8695A">
      <w:pPr>
        <w:pStyle w:val="Legalclauselevel3"/>
        <w:numPr>
          <w:ilvl w:val="2"/>
          <w:numId w:val="15"/>
        </w:numPr>
      </w:pPr>
      <w:bookmarkStart w:id="76" w:name="_DV_C293"/>
      <w:bookmarkStart w:id="77" w:name="_Ref335115548"/>
      <w:r w:rsidRPr="00577DC1">
        <w:t>vary its tariff</w:t>
      </w:r>
      <w:bookmarkStart w:id="78" w:name="_DV_X240"/>
      <w:bookmarkStart w:id="79" w:name="_DV_C294"/>
      <w:bookmarkEnd w:id="76"/>
      <w:r w:rsidRPr="00577DC1">
        <w:t xml:space="preserve"> stated in the Annex 7 or subsequent variation </w:t>
      </w:r>
      <w:proofErr w:type="gramStart"/>
      <w:r w:rsidRPr="00577DC1">
        <w:t>thereof</w:t>
      </w:r>
      <w:bookmarkStart w:id="80" w:name="_DV_C298"/>
      <w:bookmarkEnd w:id="78"/>
      <w:bookmarkEnd w:id="79"/>
      <w:r w:rsidRPr="00577DC1">
        <w:t>;</w:t>
      </w:r>
      <w:bookmarkEnd w:id="77"/>
      <w:bookmarkEnd w:id="80"/>
      <w:proofErr w:type="gramEnd"/>
    </w:p>
    <w:p w14:paraId="6C6EE831" w14:textId="77777777" w:rsidR="00A8695A" w:rsidRPr="00577DC1" w:rsidRDefault="00A8695A" w:rsidP="00A8695A">
      <w:pPr>
        <w:pStyle w:val="Legalclauselevel2"/>
        <w:numPr>
          <w:ilvl w:val="1"/>
          <w:numId w:val="15"/>
        </w:numPr>
        <w:rPr>
          <w:lang w:bidi="ar-SA"/>
        </w:rPr>
      </w:pPr>
      <w:bookmarkStart w:id="81" w:name="_DV_C299"/>
      <w:r w:rsidRPr="00577DC1">
        <w:rPr>
          <w:lang w:bidi="ar-SA"/>
        </w:rPr>
        <w:t>The references to Technical Specifications and GSM Association Permanent Reference Documents in Article 5.1 (1)and (2) shall be deemed to include references to these documents as amended by GSM Association from time to time.</w:t>
      </w:r>
      <w:r>
        <w:rPr>
          <w:lang w:bidi="ar-SA"/>
        </w:rPr>
        <w:t xml:space="preserve"> </w:t>
      </w:r>
      <w:r w:rsidRPr="00577DC1">
        <w:rPr>
          <w:lang w:bidi="ar-SA"/>
        </w:rPr>
        <w:t>This Article 1</w:t>
      </w:r>
      <w:r>
        <w:rPr>
          <w:lang w:bidi="ar-SA"/>
        </w:rPr>
        <w:t>7</w:t>
      </w:r>
      <w:r w:rsidRPr="00577DC1">
        <w:rPr>
          <w:lang w:bidi="ar-SA"/>
        </w:rPr>
        <w:t>.2.3 shall be subject to Article</w:t>
      </w:r>
      <w:bookmarkStart w:id="82" w:name="_DV_C300"/>
      <w:bookmarkEnd w:id="81"/>
      <w:r w:rsidRPr="00577DC1">
        <w:rPr>
          <w:lang w:bidi="ar-SA"/>
        </w:rPr>
        <w:t xml:space="preserve"> 5.2.</w:t>
      </w:r>
      <w:r w:rsidRPr="00577DC1">
        <w:rPr>
          <w:lang w:bidi="ar-SA"/>
        </w:rPr>
        <w:tab/>
      </w:r>
      <w:bookmarkEnd w:id="82"/>
    </w:p>
    <w:p w14:paraId="75CE9A15" w14:textId="77777777" w:rsidR="00A8695A" w:rsidRPr="00577DC1" w:rsidRDefault="00A8695A" w:rsidP="00A8695A">
      <w:pPr>
        <w:pStyle w:val="Legalclauselevel2"/>
        <w:numPr>
          <w:ilvl w:val="1"/>
          <w:numId w:val="15"/>
        </w:numPr>
        <w:rPr>
          <w:lang w:bidi="ar-SA"/>
        </w:rPr>
      </w:pPr>
      <w:r w:rsidRPr="00577DC1">
        <w:rPr>
          <w:lang w:bidi="ar-SA"/>
        </w:rPr>
        <w:t>It is also recognised by the Parties that it may be appropriate to seek changes to the Agreement in the light of experience.</w:t>
      </w:r>
      <w:r>
        <w:rPr>
          <w:lang w:bidi="ar-SA"/>
        </w:rPr>
        <w:t xml:space="preserve"> </w:t>
      </w:r>
      <w:r w:rsidRPr="00577DC1">
        <w:rPr>
          <w:lang w:bidi="ar-SA"/>
        </w:rPr>
        <w:t xml:space="preserve">Accordingly, the Parties shall </w:t>
      </w:r>
      <w:proofErr w:type="gramStart"/>
      <w:r w:rsidRPr="00577DC1">
        <w:rPr>
          <w:lang w:bidi="ar-SA"/>
        </w:rPr>
        <w:t>enter into</w:t>
      </w:r>
      <w:proofErr w:type="gramEnd"/>
      <w:r w:rsidRPr="00577DC1">
        <w:rPr>
          <w:lang w:bidi="ar-SA"/>
        </w:rPr>
        <w:t xml:space="preserve"> good faith discussions with a view to agreeing mutually acceptable modifications to the Agreement.</w:t>
      </w:r>
    </w:p>
    <w:p w14:paraId="11FA0241" w14:textId="77777777" w:rsidR="00A8695A" w:rsidRPr="00577DC1" w:rsidRDefault="00A8695A" w:rsidP="00A8695A">
      <w:pPr>
        <w:pStyle w:val="Legalclauselevel1"/>
        <w:rPr>
          <w:lang w:eastAsia="de-DE"/>
        </w:rPr>
      </w:pPr>
      <w:r w:rsidRPr="00577DC1">
        <w:t>Miscellaneous</w:t>
      </w:r>
    </w:p>
    <w:p w14:paraId="3F353D5F" w14:textId="77777777" w:rsidR="00A8695A" w:rsidRPr="00577DC1" w:rsidRDefault="00A8695A" w:rsidP="00A8695A">
      <w:pPr>
        <w:pStyle w:val="Legalclauselevel2"/>
        <w:numPr>
          <w:ilvl w:val="1"/>
          <w:numId w:val="15"/>
        </w:numPr>
        <w:rPr>
          <w:lang w:bidi="ar-SA"/>
        </w:rPr>
      </w:pPr>
      <w:r w:rsidRPr="00577DC1">
        <w:rPr>
          <w:lang w:bidi="ar-SA"/>
        </w:rPr>
        <w:t>Successors and Assigns</w:t>
      </w:r>
    </w:p>
    <w:p w14:paraId="78804378" w14:textId="77777777" w:rsidR="00A8695A" w:rsidRPr="00577DC1" w:rsidRDefault="00A8695A" w:rsidP="00A8695A">
      <w:pPr>
        <w:pStyle w:val="Legalclauselevel3"/>
        <w:numPr>
          <w:ilvl w:val="2"/>
          <w:numId w:val="15"/>
        </w:numPr>
        <w:rPr>
          <w:lang w:bidi="ar-SA"/>
        </w:rPr>
      </w:pPr>
      <w:r w:rsidRPr="00577DC1">
        <w:rPr>
          <w:lang w:bidi="ar-SA"/>
        </w:rPr>
        <w:t>The Agreement and the rights and obligations specified herein shall be binding upon the Parties hereto and their respective legal successors and neither Party shall sell, transfer or assign the Agreement or any part, interest, right or obligation hereunder, except that a Party shall have the right to transfer or assign the Agreement in whole (but not in part) to an Affiliated Company. No person other than a Party to the Agreement shall acquire any rights hereunder as a third-party beneficiary or otherwise by virtue of the Agreement.</w:t>
      </w:r>
    </w:p>
    <w:p w14:paraId="6BA94A40" w14:textId="77777777" w:rsidR="00A8695A" w:rsidRPr="00577DC1" w:rsidRDefault="00A8695A" w:rsidP="00A8695A">
      <w:pPr>
        <w:pStyle w:val="Legalclauselevel2"/>
        <w:numPr>
          <w:ilvl w:val="1"/>
          <w:numId w:val="15"/>
        </w:numPr>
        <w:rPr>
          <w:lang w:bidi="ar-SA"/>
        </w:rPr>
      </w:pPr>
      <w:r w:rsidRPr="00577DC1">
        <w:rPr>
          <w:lang w:bidi="ar-SA"/>
        </w:rPr>
        <w:t>Headings</w:t>
      </w:r>
    </w:p>
    <w:p w14:paraId="58927C99" w14:textId="77777777" w:rsidR="00A8695A" w:rsidRPr="00577DC1" w:rsidRDefault="00A8695A" w:rsidP="00A8695A">
      <w:pPr>
        <w:pStyle w:val="Legalclauselevel3"/>
        <w:numPr>
          <w:ilvl w:val="2"/>
          <w:numId w:val="15"/>
        </w:numPr>
        <w:rPr>
          <w:lang w:bidi="ar-SA"/>
        </w:rPr>
      </w:pPr>
      <w:r w:rsidRPr="00577DC1">
        <w:rPr>
          <w:lang w:bidi="ar-SA"/>
        </w:rPr>
        <w:t>The headings of the Agreement are for the convenience of reference only and shall in no way limit or affect the meaning or interpretation of the provisions of the Agreement.</w:t>
      </w:r>
    </w:p>
    <w:p w14:paraId="06C2E376" w14:textId="77777777" w:rsidR="00A8695A" w:rsidRPr="00577DC1" w:rsidRDefault="00A8695A" w:rsidP="00A8695A">
      <w:pPr>
        <w:pStyle w:val="Legalclauselevel2"/>
        <w:numPr>
          <w:ilvl w:val="1"/>
          <w:numId w:val="15"/>
        </w:numPr>
        <w:rPr>
          <w:lang w:bidi="ar-SA"/>
        </w:rPr>
      </w:pPr>
      <w:r w:rsidRPr="00577DC1">
        <w:rPr>
          <w:lang w:bidi="ar-SA"/>
        </w:rPr>
        <w:t>No waiver</w:t>
      </w:r>
    </w:p>
    <w:p w14:paraId="7D9CCC3A" w14:textId="77777777" w:rsidR="00A8695A" w:rsidRPr="00577DC1" w:rsidRDefault="00A8695A" w:rsidP="00A8695A">
      <w:pPr>
        <w:pStyle w:val="Legalclauselevel3"/>
        <w:numPr>
          <w:ilvl w:val="2"/>
          <w:numId w:val="15"/>
        </w:numPr>
        <w:rPr>
          <w:lang w:bidi="ar-SA"/>
        </w:rPr>
      </w:pPr>
      <w:r w:rsidRPr="00577DC1">
        <w:rPr>
          <w:lang w:bidi="ar-SA"/>
        </w:rPr>
        <w:t>Failure by any Party at any time or times to require performance of any provisions of the Agreement shall in no manner affect its rights to enforce the same, and the waiver by any Party of any breach of any provisions of the Agreement shall not be construed to be a waiver by such Party of any succeeding breach of such provision or waiver by such Party of any breach of any other provision hereof.</w:t>
      </w:r>
    </w:p>
    <w:p w14:paraId="0353CD47" w14:textId="77777777" w:rsidR="00A8695A" w:rsidRPr="00577DC1" w:rsidRDefault="00A8695A" w:rsidP="00A8695A">
      <w:pPr>
        <w:pStyle w:val="Legalclauselevel2"/>
        <w:numPr>
          <w:ilvl w:val="1"/>
          <w:numId w:val="15"/>
        </w:numPr>
        <w:rPr>
          <w:lang w:bidi="ar-SA"/>
        </w:rPr>
      </w:pPr>
      <w:r w:rsidRPr="00577DC1">
        <w:rPr>
          <w:lang w:bidi="ar-SA"/>
        </w:rPr>
        <w:t>Provisions severable</w:t>
      </w:r>
    </w:p>
    <w:p w14:paraId="40F6C82D" w14:textId="77777777" w:rsidR="00A8695A" w:rsidRPr="00577DC1" w:rsidRDefault="00A8695A" w:rsidP="00A8695A">
      <w:pPr>
        <w:pStyle w:val="Legalclauselevel3"/>
        <w:numPr>
          <w:ilvl w:val="2"/>
          <w:numId w:val="15"/>
        </w:numPr>
        <w:rPr>
          <w:lang w:bidi="ar-SA"/>
        </w:rPr>
      </w:pPr>
      <w:r w:rsidRPr="00577DC1">
        <w:rPr>
          <w:lang w:bidi="ar-SA"/>
        </w:rPr>
        <w:t>If any part of the Agreement or any Annex hereto is held to be invalid or unenforceable, such determination shall not invalidate any other provision of the Agreement or Annexes hereto; and the Parties shall attempt, through negotiations in good faith, to replace any part of the Agreement or Annexes hereto so held to be invalid or unenforceable.</w:t>
      </w:r>
      <w:r>
        <w:rPr>
          <w:lang w:bidi="ar-SA"/>
        </w:rPr>
        <w:t xml:space="preserve"> </w:t>
      </w:r>
      <w:r w:rsidRPr="00577DC1">
        <w:rPr>
          <w:lang w:bidi="ar-SA"/>
        </w:rPr>
        <w:t>The failure of the Parties to agree on such replacement shall not affect the validity of the remaining parts of the Agreement.</w:t>
      </w:r>
    </w:p>
    <w:p w14:paraId="566A46B5" w14:textId="77777777" w:rsidR="00A8695A" w:rsidRPr="00577DC1" w:rsidRDefault="00A8695A" w:rsidP="00A8695A">
      <w:pPr>
        <w:pStyle w:val="Legalclauselevel2"/>
        <w:numPr>
          <w:ilvl w:val="1"/>
          <w:numId w:val="15"/>
        </w:numPr>
        <w:rPr>
          <w:lang w:bidi="ar-SA"/>
        </w:rPr>
      </w:pPr>
      <w:bookmarkStart w:id="83" w:name="_DV_X69"/>
      <w:bookmarkStart w:id="84" w:name="_DV_C307"/>
      <w:r w:rsidRPr="00577DC1">
        <w:rPr>
          <w:lang w:bidi="ar-SA"/>
        </w:rPr>
        <w:t>Notices</w:t>
      </w:r>
    </w:p>
    <w:p w14:paraId="46276EDC" w14:textId="77777777" w:rsidR="00A8695A" w:rsidRPr="00577DC1" w:rsidRDefault="00A8695A" w:rsidP="00A8695A">
      <w:pPr>
        <w:pStyle w:val="Legalclauselevel3"/>
        <w:numPr>
          <w:ilvl w:val="2"/>
          <w:numId w:val="15"/>
        </w:numPr>
        <w:rPr>
          <w:lang w:bidi="ar-SA"/>
        </w:rPr>
      </w:pPr>
      <w:r w:rsidRPr="00577DC1">
        <w:rPr>
          <w:lang w:bidi="ar-SA"/>
        </w:rPr>
        <w:t xml:space="preserve">All notices, information and </w:t>
      </w:r>
      <w:bookmarkStart w:id="85" w:name="_DV_C308"/>
      <w:bookmarkEnd w:id="83"/>
      <w:bookmarkEnd w:id="84"/>
      <w:r w:rsidRPr="00577DC1">
        <w:rPr>
          <w:lang w:bidi="ar-SA"/>
        </w:rPr>
        <w:t>communications</w:t>
      </w:r>
      <w:bookmarkStart w:id="86" w:name="_DV_X71"/>
      <w:bookmarkStart w:id="87" w:name="_DV_C309"/>
      <w:bookmarkEnd w:id="85"/>
      <w:r w:rsidRPr="00577DC1">
        <w:rPr>
          <w:lang w:bidi="ar-SA"/>
        </w:rPr>
        <w:t xml:space="preserve"> required under the Agreement shall be given as described in Annex </w:t>
      </w:r>
      <w:bookmarkStart w:id="88" w:name="_DV_C310"/>
      <w:bookmarkEnd w:id="86"/>
      <w:bookmarkEnd w:id="87"/>
      <w:r w:rsidRPr="00577DC1">
        <w:rPr>
          <w:lang w:bidi="ar-SA"/>
        </w:rPr>
        <w:t>1:</w:t>
      </w:r>
      <w:bookmarkEnd w:id="88"/>
      <w:r>
        <w:rPr>
          <w:lang w:bidi="ar-SA"/>
        </w:rPr>
        <w:t xml:space="preserve"> </w:t>
      </w:r>
      <w:bookmarkStart w:id="89" w:name="_DV_X73"/>
      <w:bookmarkStart w:id="90" w:name="_DV_C311"/>
      <w:r w:rsidRPr="00577DC1">
        <w:rPr>
          <w:lang w:bidi="ar-SA"/>
        </w:rPr>
        <w:t>Agreement Management Principles.</w:t>
      </w:r>
      <w:bookmarkEnd w:id="89"/>
      <w:bookmarkEnd w:id="90"/>
    </w:p>
    <w:p w14:paraId="71D4D758" w14:textId="77777777" w:rsidR="00A8695A" w:rsidRPr="00577DC1" w:rsidRDefault="00A8695A" w:rsidP="00A8695A">
      <w:pPr>
        <w:pStyle w:val="Legalclauselevel2"/>
        <w:numPr>
          <w:ilvl w:val="1"/>
          <w:numId w:val="15"/>
        </w:numPr>
        <w:rPr>
          <w:lang w:bidi="ar-SA"/>
        </w:rPr>
      </w:pPr>
      <w:r w:rsidRPr="00577DC1">
        <w:rPr>
          <w:lang w:bidi="ar-SA"/>
        </w:rPr>
        <w:t xml:space="preserve">Compliance with Laws and Regulatory requirements </w:t>
      </w:r>
    </w:p>
    <w:p w14:paraId="0D563A9E" w14:textId="77777777" w:rsidR="00A8695A" w:rsidRPr="00577DC1" w:rsidRDefault="00A8695A" w:rsidP="00A8695A">
      <w:pPr>
        <w:pStyle w:val="Legalclauselevel3"/>
        <w:numPr>
          <w:ilvl w:val="2"/>
          <w:numId w:val="15"/>
        </w:numPr>
      </w:pPr>
      <w:r w:rsidRPr="00577DC1">
        <w:t>The commitment of the Parties hereto shall be subject to all applicable laws and/or regulatory requirements, present and future, of any governmental or regulatory authority having jurisdiction over the Parties hereto, as well as any valid order of a court of competent jurisdiction.</w:t>
      </w:r>
    </w:p>
    <w:p w14:paraId="40136563" w14:textId="77777777" w:rsidR="00A8695A" w:rsidRPr="00577DC1" w:rsidRDefault="00A8695A" w:rsidP="00A8695A">
      <w:pPr>
        <w:pStyle w:val="Legalclauselevel2"/>
        <w:numPr>
          <w:ilvl w:val="1"/>
          <w:numId w:val="15"/>
        </w:numPr>
        <w:rPr>
          <w:lang w:bidi="ar-SA"/>
        </w:rPr>
      </w:pPr>
      <w:r w:rsidRPr="00577DC1">
        <w:rPr>
          <w:lang w:bidi="ar-SA"/>
        </w:rPr>
        <w:t>Anti-bribery compliance</w:t>
      </w:r>
    </w:p>
    <w:p w14:paraId="43256453" w14:textId="77777777" w:rsidR="00A8695A" w:rsidRPr="00577DC1" w:rsidRDefault="00A8695A" w:rsidP="00A8695A">
      <w:pPr>
        <w:pStyle w:val="Legalclauselevel3"/>
        <w:numPr>
          <w:ilvl w:val="2"/>
          <w:numId w:val="15"/>
        </w:numPr>
      </w:pPr>
      <w:r w:rsidRPr="00577DC1">
        <w:t>The Parties hereby acknowledge the importance of combating and preventing bribery and to that end both Parties agree to comply fully with all applicable laws, regulations and sanctions relating to anti-bribery and anti-corruption.</w:t>
      </w:r>
    </w:p>
    <w:p w14:paraId="0C86AA6F" w14:textId="77777777" w:rsidR="00A8695A" w:rsidRPr="00577DC1" w:rsidRDefault="00A8695A" w:rsidP="00A8695A">
      <w:pPr>
        <w:pStyle w:val="Legalclauselevel2"/>
        <w:numPr>
          <w:ilvl w:val="1"/>
          <w:numId w:val="15"/>
        </w:numPr>
        <w:rPr>
          <w:lang w:bidi="ar-SA"/>
        </w:rPr>
      </w:pPr>
      <w:r w:rsidRPr="00577DC1">
        <w:rPr>
          <w:lang w:bidi="ar-SA"/>
        </w:rPr>
        <w:t>Export Control Laws and Sanctions Compliance</w:t>
      </w:r>
    </w:p>
    <w:p w14:paraId="2545157B" w14:textId="77777777" w:rsidR="00A8695A" w:rsidRPr="00577DC1" w:rsidRDefault="00A8695A" w:rsidP="00A8695A">
      <w:pPr>
        <w:pStyle w:val="Legalclauselevel3"/>
        <w:numPr>
          <w:ilvl w:val="2"/>
          <w:numId w:val="15"/>
        </w:numPr>
      </w:pPr>
      <w:r w:rsidRPr="00577DC1">
        <w:t>The Parties shall, in carrying out their obligations in relation to the Agreement, comply with all applicable export control laws and regulations (“</w:t>
      </w:r>
      <w:r w:rsidRPr="00577DC1">
        <w:rPr>
          <w:b/>
        </w:rPr>
        <w:t>Export Control Laws</w:t>
      </w:r>
      <w:r w:rsidRPr="00577DC1">
        <w:t>”) and all applicable economic, trade and financial sanctions laws, regulations, and embargoes or restrictive measures (“</w:t>
      </w:r>
      <w:r w:rsidRPr="00577DC1">
        <w:rPr>
          <w:b/>
        </w:rPr>
        <w:t>Sanctions</w:t>
      </w:r>
      <w:r w:rsidRPr="00577DC1">
        <w:t>”) administered in both cases enacted or enforced by the governments of any relevant country.</w:t>
      </w:r>
      <w:r>
        <w:t xml:space="preserve"> </w:t>
      </w:r>
    </w:p>
    <w:p w14:paraId="6655C927" w14:textId="77777777" w:rsidR="00A8695A" w:rsidRPr="00577DC1" w:rsidRDefault="00A8695A" w:rsidP="00A8695A">
      <w:pPr>
        <w:pStyle w:val="Legalclauselevel2"/>
        <w:numPr>
          <w:ilvl w:val="1"/>
          <w:numId w:val="15"/>
        </w:numPr>
        <w:rPr>
          <w:lang w:bidi="ar-SA"/>
        </w:rPr>
      </w:pPr>
      <w:r w:rsidRPr="00577DC1">
        <w:rPr>
          <w:lang w:bidi="ar-SA"/>
        </w:rPr>
        <w:t xml:space="preserve">Counterparts </w:t>
      </w:r>
      <w:r w:rsidRPr="00577DC1">
        <w:rPr>
          <w:iCs/>
        </w:rPr>
        <w:t>(Optional clause to be removed where e-signature is not used)</w:t>
      </w:r>
    </w:p>
    <w:p w14:paraId="0412C339" w14:textId="77777777" w:rsidR="00A8695A" w:rsidRPr="00577DC1" w:rsidRDefault="00A8695A" w:rsidP="00A8695A">
      <w:pPr>
        <w:pStyle w:val="Legalclauselevel3"/>
        <w:numPr>
          <w:ilvl w:val="2"/>
          <w:numId w:val="15"/>
        </w:numPr>
        <w:rPr>
          <w:rFonts w:eastAsiaTheme="minorHAnsi"/>
          <w:lang w:val="en-US" w:bidi="ar-SA"/>
        </w:rPr>
      </w:pPr>
      <w:r w:rsidRPr="00577DC1">
        <w:rPr>
          <w:rFonts w:eastAsiaTheme="minorHAnsi"/>
          <w:lang w:val="en-US" w:bidi="ar-SA"/>
        </w:rPr>
        <w:t xml:space="preserve">The Parties acknowledge that they shall use &lt;A’s&gt;/&lt; B’s&gt; – </w:t>
      </w:r>
      <w:r w:rsidRPr="00577DC1">
        <w:rPr>
          <w:rFonts w:eastAsiaTheme="minorHAnsi"/>
          <w:i/>
          <w:lang w:val="en-US" w:bidi="ar-SA"/>
        </w:rPr>
        <w:t>[Note:</w:t>
      </w:r>
      <w:r>
        <w:rPr>
          <w:rFonts w:eastAsiaTheme="minorHAnsi"/>
          <w:i/>
          <w:lang w:val="en-US" w:bidi="ar-SA"/>
        </w:rPr>
        <w:t xml:space="preserve"> </w:t>
      </w:r>
      <w:r w:rsidRPr="00577DC1">
        <w:rPr>
          <w:rFonts w:eastAsiaTheme="minorHAnsi"/>
          <w:i/>
          <w:lang w:val="en-US" w:bidi="ar-SA"/>
        </w:rPr>
        <w:t xml:space="preserve"> Identify here which Party’s e-signature system will be used, to delete as necessary]</w:t>
      </w:r>
      <w:r w:rsidRPr="00577DC1">
        <w:rPr>
          <w:rFonts w:eastAsiaTheme="minorHAnsi"/>
          <w:lang w:val="en-US" w:bidi="ar-SA"/>
        </w:rPr>
        <w:t xml:space="preserve"> electronic signature process to sign the Agreement and agree to be bound by any such electronic signature which they have applied to the Agreement.</w:t>
      </w:r>
    </w:p>
    <w:p w14:paraId="5ED82451" w14:textId="77777777" w:rsidR="00A8695A" w:rsidRPr="00577DC1" w:rsidRDefault="00A8695A" w:rsidP="00A8695A">
      <w:pPr>
        <w:pStyle w:val="Legalclauselevel3"/>
        <w:numPr>
          <w:ilvl w:val="2"/>
          <w:numId w:val="15"/>
        </w:numPr>
        <w:rPr>
          <w:rFonts w:eastAsiaTheme="minorHAnsi"/>
          <w:lang w:val="en-US" w:bidi="ar-SA"/>
        </w:rPr>
      </w:pPr>
      <w:r w:rsidRPr="00577DC1">
        <w:rPr>
          <w:rFonts w:eastAsiaTheme="minorHAnsi"/>
          <w:lang w:val="en-US" w:bidi="ar-SA"/>
        </w:rPr>
        <w:t>The Agreement may be executed in any number of counterparts, each of which, when executed and delivered, shall be an original, and all the counterparts together shall constitute one and the same instrument. A counterpart signature page of the Agreement executed by a Party and the execution version of the contract transmitted electronically in Portable Document Format (PDF) shall be treated as an original, fully binding and with legal force and effect. The Parties waive any rights they may have to object to such treatment.</w:t>
      </w:r>
    </w:p>
    <w:p w14:paraId="24F623A0" w14:textId="77777777" w:rsidR="00A8695A" w:rsidRPr="00577DC1" w:rsidRDefault="00A8695A" w:rsidP="00A8695A">
      <w:pPr>
        <w:pStyle w:val="Legalclauselevel1"/>
      </w:pPr>
      <w:r w:rsidRPr="00577DC1">
        <w:t>Choice of Law</w:t>
      </w:r>
    </w:p>
    <w:p w14:paraId="11C16FB1" w14:textId="77777777" w:rsidR="00A8695A" w:rsidRPr="00577DC1" w:rsidRDefault="00A8695A" w:rsidP="00A8695A">
      <w:pPr>
        <w:pStyle w:val="Legalclauselevel2"/>
        <w:numPr>
          <w:ilvl w:val="1"/>
          <w:numId w:val="15"/>
        </w:numPr>
        <w:rPr>
          <w:iCs/>
          <w:lang w:bidi="ar-SA"/>
        </w:rPr>
      </w:pPr>
      <w:r w:rsidRPr="00577DC1">
        <w:rPr>
          <w:lang w:bidi="ar-SA"/>
        </w:rPr>
        <w:t>The Agreement and any matters relating hereto shall be governed by and construed in accordance with Swiss law</w:t>
      </w:r>
      <w:r w:rsidRPr="00577DC1">
        <w:rPr>
          <w:iCs/>
          <w:lang w:bidi="ar-SA"/>
        </w:rPr>
        <w:t>.</w:t>
      </w:r>
    </w:p>
    <w:p w14:paraId="44E6A67A" w14:textId="77777777" w:rsidR="00A8695A" w:rsidRPr="00577DC1" w:rsidRDefault="00A8695A" w:rsidP="00A8695A">
      <w:pPr>
        <w:pStyle w:val="Legalclauselevel1"/>
      </w:pPr>
      <w:r w:rsidRPr="00577DC1">
        <w:t>Dispute Resolution &amp; Arbitration</w:t>
      </w:r>
    </w:p>
    <w:p w14:paraId="5F8D739B" w14:textId="77777777" w:rsidR="00A8695A" w:rsidRPr="00577DC1" w:rsidRDefault="00A8695A" w:rsidP="00A8695A">
      <w:pPr>
        <w:pStyle w:val="Legalclauselevel2"/>
        <w:numPr>
          <w:ilvl w:val="1"/>
          <w:numId w:val="15"/>
        </w:numPr>
        <w:rPr>
          <w:lang w:bidi="ar-SA"/>
        </w:rPr>
      </w:pPr>
      <w:r w:rsidRPr="00577DC1">
        <w:rPr>
          <w:lang w:bidi="ar-SA"/>
        </w:rPr>
        <w:t>The Parties agree to seek to resolve any dispute arising out of the Agreement in accordance with the following escalation procedures before commencing the arbitration procedures described below.</w:t>
      </w:r>
    </w:p>
    <w:p w14:paraId="5098E09E" w14:textId="77777777" w:rsidR="00A8695A" w:rsidRPr="00577DC1" w:rsidRDefault="00A8695A" w:rsidP="00A8695A">
      <w:pPr>
        <w:pStyle w:val="Legalclauselevel3"/>
        <w:numPr>
          <w:ilvl w:val="2"/>
          <w:numId w:val="15"/>
        </w:numPr>
        <w:rPr>
          <w:lang w:bidi="ar-SA"/>
        </w:rPr>
      </w:pPr>
      <w:r w:rsidRPr="00577DC1">
        <w:rPr>
          <w:lang w:bidi="ar-SA"/>
        </w:rPr>
        <w:t>The Contact Persons of both Parties shall work in good faith to try to resolve the dispute within thirty days from the date that a Party first gives notice that a dispute has occurred.</w:t>
      </w:r>
    </w:p>
    <w:p w14:paraId="13EDE90A" w14:textId="77777777" w:rsidR="00A8695A" w:rsidRPr="00577DC1" w:rsidRDefault="00A8695A" w:rsidP="00A8695A">
      <w:pPr>
        <w:pStyle w:val="Legalclauselevel3"/>
        <w:numPr>
          <w:ilvl w:val="2"/>
          <w:numId w:val="15"/>
        </w:numPr>
        <w:rPr>
          <w:lang w:bidi="ar-SA"/>
        </w:rPr>
      </w:pPr>
      <w:r w:rsidRPr="00577DC1">
        <w:rPr>
          <w:lang w:bidi="ar-SA"/>
        </w:rPr>
        <w:t>If the Contact Persons fail to reach an agreement on the dispute within thirty days, the dispute shall be referred to more senior persons within the respective companies who shall try to resolve the dispute within a further thirty-day period. If no resolution is found each Party is entitled to commence the arbitration proceedings described below.</w:t>
      </w:r>
    </w:p>
    <w:p w14:paraId="2911DDBB" w14:textId="77777777" w:rsidR="00A8695A" w:rsidRPr="00577DC1" w:rsidRDefault="00A8695A" w:rsidP="00A8695A">
      <w:pPr>
        <w:pStyle w:val="Legalclauselevel3"/>
        <w:numPr>
          <w:ilvl w:val="2"/>
          <w:numId w:val="15"/>
        </w:numPr>
        <w:rPr>
          <w:lang w:bidi="ar-SA"/>
        </w:rPr>
      </w:pPr>
      <w:r w:rsidRPr="00577DC1">
        <w:rPr>
          <w:lang w:bidi="ar-SA"/>
        </w:rPr>
        <w:t>All disputes in connection with the Agreement shall be finally settled under the Rules of Conciliation and Arbitration of the International Chamber of Commerce (ICC) by three (3) arbitrators appointed in accordance with the said Rules.</w:t>
      </w:r>
    </w:p>
    <w:p w14:paraId="2D741225" w14:textId="77777777" w:rsidR="00A8695A" w:rsidRPr="00577DC1" w:rsidRDefault="00A8695A" w:rsidP="00A8695A">
      <w:pPr>
        <w:pStyle w:val="Legalclauselevel2"/>
        <w:numPr>
          <w:ilvl w:val="1"/>
          <w:numId w:val="15"/>
        </w:numPr>
        <w:rPr>
          <w:lang w:bidi="ar-SA"/>
        </w:rPr>
      </w:pPr>
      <w:r w:rsidRPr="00577DC1">
        <w:rPr>
          <w:lang w:bidi="ar-SA"/>
        </w:rPr>
        <w:t xml:space="preserve">Where there is a challenge by one Party (the “Challenging Party”) to a change by the other Party of its reference offer the following procedure shall </w:t>
      </w:r>
      <w:proofErr w:type="gramStart"/>
      <w:r w:rsidRPr="00577DC1">
        <w:rPr>
          <w:lang w:bidi="ar-SA"/>
        </w:rPr>
        <w:t>apply;</w:t>
      </w:r>
      <w:proofErr w:type="gramEnd"/>
    </w:p>
    <w:p w14:paraId="58E8ECA8" w14:textId="77777777" w:rsidR="00A8695A" w:rsidRPr="00577DC1" w:rsidRDefault="00A8695A" w:rsidP="00A8695A">
      <w:pPr>
        <w:pStyle w:val="Legalclauselevel3"/>
        <w:numPr>
          <w:ilvl w:val="2"/>
          <w:numId w:val="15"/>
        </w:numPr>
        <w:rPr>
          <w:lang w:bidi="ar-SA"/>
        </w:rPr>
      </w:pPr>
      <w:r w:rsidRPr="00577DC1">
        <w:rPr>
          <w:lang w:bidi="ar-SA"/>
        </w:rPr>
        <w:t>The Challenging Party shall receive notice of a change of the reference offer in accordance with the procedure outlined in Annex 1. Within 14 days from the date of the notice given in accordance with the procedure in Annex 1 the Challenging Party shall notify the other Party by email or fax and registered mail that it intends to lodge a challenge to the change of the reference offer and shall provide a reason to justify the challenge.</w:t>
      </w:r>
    </w:p>
    <w:p w14:paraId="7ACBD35A" w14:textId="77777777" w:rsidR="00A8695A" w:rsidRPr="00577DC1" w:rsidRDefault="00A8695A" w:rsidP="00A8695A">
      <w:pPr>
        <w:pStyle w:val="Legalclauselevel3"/>
        <w:numPr>
          <w:ilvl w:val="2"/>
          <w:numId w:val="15"/>
        </w:numPr>
        <w:rPr>
          <w:lang w:bidi="ar-SA"/>
        </w:rPr>
      </w:pPr>
      <w:r w:rsidRPr="00577DC1">
        <w:rPr>
          <w:lang w:bidi="ar-SA"/>
        </w:rPr>
        <w:t>The Contact Persons of both Parties shall then have up until and including day 35 to try and resolve the dispute. If after day 35 no resolution is found the matter will be escalated to a more senior person in each organisation. Such person will then have a further 21 days to try and reach a settlement, that is up to and including day 56.</w:t>
      </w:r>
    </w:p>
    <w:p w14:paraId="78781A3B" w14:textId="77777777" w:rsidR="00A8695A" w:rsidRPr="00577DC1" w:rsidRDefault="00A8695A" w:rsidP="00A8695A">
      <w:pPr>
        <w:pStyle w:val="Legalclauselevel3"/>
        <w:numPr>
          <w:ilvl w:val="2"/>
          <w:numId w:val="15"/>
        </w:numPr>
        <w:rPr>
          <w:lang w:bidi="ar-SA"/>
        </w:rPr>
      </w:pPr>
      <w:r w:rsidRPr="00577DC1">
        <w:rPr>
          <w:lang w:bidi="ar-SA"/>
        </w:rPr>
        <w:t>If after the expiration of day 56 the parties are still in dispute, then the Challenging Party must decide if it wishes to launch arbitration proceedings. The Challenging Party must inform the other Party in writing that it intends to initiate arbitration proceedings and must commence formal procedures with the International Chamber of Commerce in Zurich before the expiration of day 60.</w:t>
      </w:r>
    </w:p>
    <w:p w14:paraId="32933110" w14:textId="77777777" w:rsidR="00A8695A" w:rsidRPr="00577DC1" w:rsidRDefault="00A8695A" w:rsidP="00A8695A">
      <w:pPr>
        <w:pStyle w:val="Legalclauselevel3"/>
        <w:numPr>
          <w:ilvl w:val="2"/>
          <w:numId w:val="15"/>
        </w:numPr>
        <w:rPr>
          <w:lang w:bidi="ar-SA"/>
        </w:rPr>
      </w:pPr>
      <w:r w:rsidRPr="00577DC1">
        <w:rPr>
          <w:lang w:bidi="ar-SA"/>
        </w:rPr>
        <w:t>Thereafter the dispute in connection with the change of the reference offer shall be finally settled under the Rules of Conciliation and Arbitration of the International Chamber of Commerce (ICC) by three (3) arbitrators appointed in accordance with the said Rules.</w:t>
      </w:r>
    </w:p>
    <w:p w14:paraId="53CDEE61" w14:textId="77777777" w:rsidR="00A8695A" w:rsidRPr="00577DC1" w:rsidRDefault="00A8695A" w:rsidP="00A8695A">
      <w:pPr>
        <w:pStyle w:val="Legalclauselevel3"/>
        <w:numPr>
          <w:ilvl w:val="2"/>
          <w:numId w:val="15"/>
        </w:numPr>
        <w:rPr>
          <w:lang w:bidi="ar-SA"/>
        </w:rPr>
      </w:pPr>
      <w:r w:rsidRPr="00577DC1">
        <w:rPr>
          <w:lang w:bidi="ar-SA"/>
        </w:rPr>
        <w:t>Both Parties agree that the decision of the arbitrator shall not be treated as confidential by either Party.</w:t>
      </w:r>
    </w:p>
    <w:p w14:paraId="1E3EE897" w14:textId="77777777" w:rsidR="00A8695A" w:rsidRPr="00577DC1" w:rsidRDefault="00A8695A" w:rsidP="00A8695A">
      <w:pPr>
        <w:pStyle w:val="Legalclauselevel2"/>
        <w:numPr>
          <w:ilvl w:val="1"/>
          <w:numId w:val="15"/>
        </w:numPr>
        <w:rPr>
          <w:lang w:bidi="ar-SA"/>
        </w:rPr>
      </w:pPr>
      <w:r w:rsidRPr="00577DC1">
        <w:rPr>
          <w:lang w:bidi="ar-SA"/>
        </w:rPr>
        <w:t>The place of arbitration shall be Zurich, Switzerland and the proceedings shall be conducted in the English language.</w:t>
      </w:r>
    </w:p>
    <w:p w14:paraId="6E6DAB2A" w14:textId="77777777" w:rsidR="00A8695A" w:rsidRPr="00577DC1" w:rsidRDefault="00A8695A" w:rsidP="00A8695A">
      <w:pPr>
        <w:pStyle w:val="Legalclauselevel2"/>
        <w:numPr>
          <w:ilvl w:val="1"/>
          <w:numId w:val="15"/>
        </w:numPr>
        <w:rPr>
          <w:lang w:bidi="ar-SA"/>
        </w:rPr>
      </w:pPr>
      <w:r w:rsidRPr="00577DC1">
        <w:rPr>
          <w:lang w:bidi="ar-SA"/>
        </w:rPr>
        <w:t>The award shall be final and binding and the Parties hereby waive all means of recourse to the courts of any country except for the purpose of enforcement procedures.</w:t>
      </w:r>
    </w:p>
    <w:p w14:paraId="004C60F3" w14:textId="77777777" w:rsidR="00A8695A" w:rsidRPr="00577DC1" w:rsidRDefault="00A8695A" w:rsidP="00A8695A">
      <w:pPr>
        <w:pStyle w:val="Legalclauselevel1"/>
      </w:pPr>
      <w:r w:rsidRPr="00577DC1">
        <w:t>Signatures</w:t>
      </w:r>
    </w:p>
    <w:p w14:paraId="0D2FF2F8" w14:textId="77777777" w:rsidR="00A8695A" w:rsidRPr="00577DC1" w:rsidRDefault="00A8695A" w:rsidP="00A8695A">
      <w:pPr>
        <w:tabs>
          <w:tab w:val="left" w:pos="5103"/>
        </w:tabs>
        <w:ind w:left="700"/>
        <w:rPr>
          <w:w w:val="0"/>
        </w:rPr>
      </w:pPr>
      <w:r w:rsidRPr="00577DC1">
        <w:rPr>
          <w:w w:val="0"/>
        </w:rPr>
        <w:t>Place ......................................</w:t>
      </w:r>
      <w:r w:rsidRPr="00577DC1">
        <w:rPr>
          <w:w w:val="0"/>
        </w:rPr>
        <w:tab/>
        <w:t>Place ......................................</w:t>
      </w:r>
    </w:p>
    <w:p w14:paraId="0388B96A" w14:textId="77777777" w:rsidR="00A8695A" w:rsidRPr="00577DC1" w:rsidRDefault="00A8695A" w:rsidP="00A8695A">
      <w:pPr>
        <w:tabs>
          <w:tab w:val="left" w:pos="5103"/>
        </w:tabs>
        <w:ind w:left="700" w:hanging="700"/>
        <w:rPr>
          <w:w w:val="0"/>
        </w:rPr>
      </w:pPr>
    </w:p>
    <w:p w14:paraId="2F3DC488" w14:textId="77777777" w:rsidR="00A8695A" w:rsidRPr="00577DC1" w:rsidRDefault="00A8695A" w:rsidP="00A8695A">
      <w:pPr>
        <w:tabs>
          <w:tab w:val="left" w:pos="5103"/>
        </w:tabs>
        <w:ind w:left="700"/>
        <w:rPr>
          <w:w w:val="0"/>
        </w:rPr>
      </w:pPr>
      <w:bookmarkStart w:id="91" w:name="_DV_X84"/>
      <w:bookmarkStart w:id="92" w:name="_DV_C315"/>
    </w:p>
    <w:p w14:paraId="6FA9665B" w14:textId="77777777" w:rsidR="00A8695A" w:rsidRPr="00577DC1" w:rsidRDefault="00A8695A" w:rsidP="00A8695A">
      <w:pPr>
        <w:tabs>
          <w:tab w:val="left" w:pos="5103"/>
        </w:tabs>
        <w:ind w:left="700"/>
        <w:rPr>
          <w:w w:val="0"/>
        </w:rPr>
      </w:pPr>
    </w:p>
    <w:p w14:paraId="50C898E9" w14:textId="77777777" w:rsidR="00A8695A" w:rsidRPr="00577DC1" w:rsidRDefault="00A8695A" w:rsidP="00A8695A">
      <w:pPr>
        <w:tabs>
          <w:tab w:val="left" w:pos="5103"/>
        </w:tabs>
        <w:ind w:left="700"/>
        <w:rPr>
          <w:w w:val="0"/>
        </w:rPr>
      </w:pPr>
      <w:r w:rsidRPr="00577DC1">
        <w:rPr>
          <w:w w:val="0"/>
        </w:rPr>
        <w:t>Date ......................................</w:t>
      </w:r>
      <w:r w:rsidRPr="00577DC1">
        <w:rPr>
          <w:w w:val="0"/>
        </w:rPr>
        <w:tab/>
        <w:t>Date ......................................</w:t>
      </w:r>
      <w:bookmarkEnd w:id="91"/>
      <w:bookmarkEnd w:id="92"/>
    </w:p>
    <w:p w14:paraId="3A9EF331" w14:textId="77777777" w:rsidR="00A8695A" w:rsidRPr="00577DC1" w:rsidRDefault="00A8695A" w:rsidP="00A8695A">
      <w:pPr>
        <w:tabs>
          <w:tab w:val="left" w:pos="5103"/>
        </w:tabs>
        <w:ind w:left="700" w:hanging="700"/>
        <w:rPr>
          <w:w w:val="0"/>
        </w:rPr>
      </w:pPr>
    </w:p>
    <w:p w14:paraId="7EE482C0" w14:textId="77777777" w:rsidR="00A8695A" w:rsidRPr="00577DC1" w:rsidRDefault="00A8695A" w:rsidP="00A8695A">
      <w:pPr>
        <w:tabs>
          <w:tab w:val="left" w:pos="5103"/>
        </w:tabs>
        <w:ind w:left="700" w:firstLine="20"/>
        <w:rPr>
          <w:w w:val="0"/>
        </w:rPr>
      </w:pPr>
      <w:bookmarkStart w:id="93" w:name="_DV_X85"/>
      <w:bookmarkStart w:id="94" w:name="_DV_C316"/>
    </w:p>
    <w:p w14:paraId="1F790BCB" w14:textId="77777777" w:rsidR="00A8695A" w:rsidRPr="00577DC1" w:rsidRDefault="00A8695A" w:rsidP="00A8695A">
      <w:pPr>
        <w:tabs>
          <w:tab w:val="left" w:pos="5103"/>
        </w:tabs>
        <w:ind w:left="700" w:firstLine="20"/>
        <w:rPr>
          <w:w w:val="0"/>
        </w:rPr>
      </w:pPr>
    </w:p>
    <w:p w14:paraId="01C630F5" w14:textId="77777777" w:rsidR="00A8695A" w:rsidRPr="00577DC1" w:rsidRDefault="00A8695A" w:rsidP="00A8695A">
      <w:pPr>
        <w:tabs>
          <w:tab w:val="left" w:pos="5103"/>
        </w:tabs>
        <w:ind w:left="700" w:firstLine="20"/>
        <w:rPr>
          <w:w w:val="0"/>
        </w:rPr>
      </w:pPr>
      <w:r w:rsidRPr="00577DC1">
        <w:rPr>
          <w:w w:val="0"/>
        </w:rPr>
        <w:t>..............................................</w:t>
      </w:r>
      <w:r w:rsidRPr="00577DC1">
        <w:rPr>
          <w:w w:val="0"/>
        </w:rPr>
        <w:tab/>
        <w:t>..............................................</w:t>
      </w:r>
      <w:r w:rsidRPr="00577DC1">
        <w:rPr>
          <w:w w:val="0"/>
        </w:rPr>
        <w:br/>
        <w:t>For &lt;Operator A&gt;</w:t>
      </w:r>
      <w:r w:rsidRPr="00577DC1">
        <w:rPr>
          <w:w w:val="0"/>
        </w:rPr>
        <w:tab/>
        <w:t>For &lt;Operator B&gt;</w:t>
      </w:r>
      <w:bookmarkEnd w:id="93"/>
      <w:bookmarkEnd w:id="94"/>
    </w:p>
    <w:p w14:paraId="2B50E20D" w14:textId="77777777" w:rsidR="00A8695A" w:rsidRPr="00577DC1" w:rsidRDefault="00A8695A" w:rsidP="00A8695A"/>
    <w:p w14:paraId="58FCC54B" w14:textId="77777777" w:rsidR="00A8695A" w:rsidRPr="00577DC1" w:rsidRDefault="00A8695A" w:rsidP="00A8695A"/>
    <w:p w14:paraId="7429C468" w14:textId="77777777" w:rsidR="00A8695A" w:rsidRPr="00577DC1" w:rsidRDefault="00A8695A" w:rsidP="00A8695A"/>
    <w:p w14:paraId="0160B4C8" w14:textId="77777777" w:rsidR="00A8695A" w:rsidRDefault="00A8695A" w:rsidP="00A8695A">
      <w:pPr>
        <w:spacing w:before="0" w:after="160" w:line="259" w:lineRule="auto"/>
        <w:jc w:val="left"/>
        <w:rPr>
          <w:rFonts w:eastAsia="Times New Roman" w:cs="Arial"/>
          <w:b/>
          <w:bCs/>
          <w:sz w:val="28"/>
          <w:szCs w:val="32"/>
          <w:lang w:eastAsia="en-US"/>
        </w:rPr>
      </w:pPr>
      <w:r>
        <w:br w:type="page"/>
      </w:r>
    </w:p>
    <w:p w14:paraId="76041ED1" w14:textId="77777777" w:rsidR="00A8695A" w:rsidRPr="00577DC1" w:rsidRDefault="00A8695A" w:rsidP="00A8695A">
      <w:pPr>
        <w:pStyle w:val="Legalclauselevel1"/>
      </w:pPr>
      <w:r w:rsidRPr="00577DC1">
        <w:t>Overview of the Annex Structure</w:t>
      </w:r>
    </w:p>
    <w:tbl>
      <w:tblPr>
        <w:tblW w:w="955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5"/>
        <w:gridCol w:w="6998"/>
      </w:tblGrid>
      <w:tr w:rsidR="00A8695A" w:rsidRPr="00577DC1" w14:paraId="3D0A3017" w14:textId="77777777" w:rsidTr="004F15A1">
        <w:trPr>
          <w:cantSplit/>
          <w:trHeight w:val="303"/>
        </w:trPr>
        <w:tc>
          <w:tcPr>
            <w:tcW w:w="2555" w:type="dxa"/>
            <w:shd w:val="clear" w:color="auto" w:fill="E6E6E6"/>
          </w:tcPr>
          <w:p w14:paraId="171F20AE" w14:textId="77777777" w:rsidR="00A8695A" w:rsidRPr="00577DC1" w:rsidRDefault="00A8695A" w:rsidP="004F15A1">
            <w:pPr>
              <w:keepNext/>
              <w:spacing w:before="60" w:line="276" w:lineRule="auto"/>
              <w:jc w:val="left"/>
              <w:rPr>
                <w:rFonts w:cs="Arial"/>
                <w:b/>
                <w:color w:val="FFFFFF"/>
                <w:szCs w:val="22"/>
                <w:lang w:val="en-US" w:eastAsia="en-GB" w:bidi="ar-SA"/>
              </w:rPr>
            </w:pPr>
            <w:r w:rsidRPr="00577DC1">
              <w:rPr>
                <w:rFonts w:cs="Arial"/>
                <w:b/>
                <w:color w:val="FFFFFF"/>
                <w:szCs w:val="22"/>
                <w:lang w:val="en-US" w:eastAsia="en-GB" w:bidi="ar-SA"/>
              </w:rPr>
              <w:t>Annex number</w:t>
            </w:r>
          </w:p>
        </w:tc>
        <w:tc>
          <w:tcPr>
            <w:tcW w:w="6998" w:type="dxa"/>
            <w:shd w:val="clear" w:color="auto" w:fill="E6E6E6"/>
          </w:tcPr>
          <w:p w14:paraId="20356FAE" w14:textId="77777777" w:rsidR="00A8695A" w:rsidRPr="00577DC1" w:rsidRDefault="00A8695A" w:rsidP="004F15A1">
            <w:pPr>
              <w:keepNext/>
              <w:spacing w:before="60" w:line="276" w:lineRule="auto"/>
              <w:jc w:val="left"/>
              <w:rPr>
                <w:rFonts w:cs="Arial"/>
                <w:b/>
                <w:color w:val="FFFFFF"/>
                <w:szCs w:val="22"/>
                <w:lang w:val="en-US" w:eastAsia="en-GB" w:bidi="ar-SA"/>
              </w:rPr>
            </w:pPr>
            <w:r w:rsidRPr="00577DC1">
              <w:rPr>
                <w:rFonts w:cs="Arial"/>
                <w:b/>
                <w:color w:val="FFFFFF"/>
                <w:szCs w:val="22"/>
                <w:lang w:val="en-US" w:eastAsia="en-GB" w:bidi="ar-SA"/>
              </w:rPr>
              <w:t>Annex name</w:t>
            </w:r>
          </w:p>
        </w:tc>
      </w:tr>
      <w:tr w:rsidR="00A8695A" w:rsidRPr="00577DC1" w14:paraId="31A2E8AA" w14:textId="77777777" w:rsidTr="004F15A1">
        <w:trPr>
          <w:cantSplit/>
          <w:trHeight w:val="333"/>
        </w:trPr>
        <w:tc>
          <w:tcPr>
            <w:tcW w:w="2555" w:type="dxa"/>
          </w:tcPr>
          <w:p w14:paraId="4AE3BFF1"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1</w:t>
            </w:r>
          </w:p>
        </w:tc>
        <w:tc>
          <w:tcPr>
            <w:tcW w:w="6998" w:type="dxa"/>
          </w:tcPr>
          <w:p w14:paraId="1E47555F"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AGREEMENT MANAGEMENT PRINCIPLES</w:t>
            </w:r>
          </w:p>
        </w:tc>
      </w:tr>
      <w:tr w:rsidR="00A8695A" w:rsidRPr="00577DC1" w14:paraId="305AF89E" w14:textId="77777777" w:rsidTr="004F15A1">
        <w:trPr>
          <w:cantSplit/>
          <w:trHeight w:val="334"/>
        </w:trPr>
        <w:tc>
          <w:tcPr>
            <w:tcW w:w="2555" w:type="dxa"/>
          </w:tcPr>
          <w:p w14:paraId="51C4A2B7"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2</w:t>
            </w:r>
          </w:p>
        </w:tc>
        <w:tc>
          <w:tcPr>
            <w:tcW w:w="6998" w:type="dxa"/>
          </w:tcPr>
          <w:p w14:paraId="7FA321F7"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Wi-Fi INFLIGHT SERVICES</w:t>
            </w:r>
          </w:p>
        </w:tc>
      </w:tr>
      <w:tr w:rsidR="00A8695A" w:rsidRPr="00577DC1" w14:paraId="6B9531C2" w14:textId="77777777" w:rsidTr="004F15A1">
        <w:trPr>
          <w:cantSplit/>
          <w:trHeight w:val="334"/>
        </w:trPr>
        <w:tc>
          <w:tcPr>
            <w:tcW w:w="2555" w:type="dxa"/>
          </w:tcPr>
          <w:p w14:paraId="2D0090DA"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3</w:t>
            </w:r>
          </w:p>
        </w:tc>
        <w:tc>
          <w:tcPr>
            <w:tcW w:w="6998" w:type="dxa"/>
          </w:tcPr>
          <w:p w14:paraId="09C1D1AB"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BILLING AND ACCOUNTING</w:t>
            </w:r>
          </w:p>
        </w:tc>
      </w:tr>
      <w:tr w:rsidR="00A8695A" w:rsidRPr="00577DC1" w14:paraId="67A3FE70" w14:textId="77777777" w:rsidTr="004F15A1">
        <w:trPr>
          <w:cantSplit/>
          <w:trHeight w:val="333"/>
        </w:trPr>
        <w:tc>
          <w:tcPr>
            <w:tcW w:w="2555" w:type="dxa"/>
          </w:tcPr>
          <w:p w14:paraId="55A2D8DC"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b/>
              <w:t>ANNEX 3.1</w:t>
            </w:r>
          </w:p>
        </w:tc>
        <w:tc>
          <w:tcPr>
            <w:tcW w:w="6998" w:type="dxa"/>
          </w:tcPr>
          <w:p w14:paraId="636653A6"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INFORMATION ON CDR BILLING DATA</w:t>
            </w:r>
          </w:p>
        </w:tc>
      </w:tr>
      <w:tr w:rsidR="00A8695A" w:rsidRPr="00577DC1" w14:paraId="3B53089B" w14:textId="77777777" w:rsidTr="004F15A1">
        <w:trPr>
          <w:cantSplit/>
          <w:trHeight w:val="334"/>
        </w:trPr>
        <w:tc>
          <w:tcPr>
            <w:tcW w:w="2555" w:type="dxa"/>
          </w:tcPr>
          <w:p w14:paraId="1965078D"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b/>
              <w:t>ANNEX 3.2</w:t>
            </w:r>
          </w:p>
        </w:tc>
        <w:tc>
          <w:tcPr>
            <w:tcW w:w="6998" w:type="dxa"/>
          </w:tcPr>
          <w:p w14:paraId="53DF5F2C"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SETTLEMENT PROCEDURE</w:t>
            </w:r>
          </w:p>
        </w:tc>
      </w:tr>
      <w:tr w:rsidR="00A8695A" w:rsidRPr="00577DC1" w14:paraId="62AC9153" w14:textId="77777777" w:rsidTr="004F15A1">
        <w:trPr>
          <w:cantSplit/>
          <w:trHeight w:val="334"/>
        </w:trPr>
        <w:tc>
          <w:tcPr>
            <w:tcW w:w="2555" w:type="dxa"/>
          </w:tcPr>
          <w:p w14:paraId="7B7DF22E"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4</w:t>
            </w:r>
          </w:p>
        </w:tc>
        <w:tc>
          <w:tcPr>
            <w:tcW w:w="6998" w:type="dxa"/>
          </w:tcPr>
          <w:p w14:paraId="29C0C0AE" w14:textId="77777777" w:rsidR="00A8695A" w:rsidRPr="00577DC1" w:rsidRDefault="00A8695A" w:rsidP="004F15A1">
            <w:pPr>
              <w:spacing w:before="40" w:after="40" w:line="276" w:lineRule="auto"/>
              <w:jc w:val="left"/>
              <w:rPr>
                <w:sz w:val="20"/>
                <w:szCs w:val="22"/>
                <w:lang w:eastAsia="de-DE" w:bidi="ar-SA"/>
              </w:rPr>
            </w:pPr>
            <w:r>
              <w:rPr>
                <w:sz w:val="20"/>
                <w:szCs w:val="22"/>
                <w:lang w:eastAsia="de-DE" w:bidi="ar-SA"/>
              </w:rPr>
              <w:t>TECHNICAL ASPECTS</w:t>
            </w:r>
          </w:p>
        </w:tc>
      </w:tr>
      <w:tr w:rsidR="00A8695A" w:rsidRPr="00577DC1" w14:paraId="2429D9D5" w14:textId="77777777" w:rsidTr="004F15A1">
        <w:trPr>
          <w:cantSplit/>
          <w:trHeight w:val="333"/>
        </w:trPr>
        <w:tc>
          <w:tcPr>
            <w:tcW w:w="2555" w:type="dxa"/>
          </w:tcPr>
          <w:p w14:paraId="11500D40"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5</w:t>
            </w:r>
          </w:p>
        </w:tc>
        <w:tc>
          <w:tcPr>
            <w:tcW w:w="6998" w:type="dxa"/>
          </w:tcPr>
          <w:p w14:paraId="4718F989" w14:textId="77777777" w:rsidR="00A8695A" w:rsidRPr="00577DC1" w:rsidRDefault="00A8695A" w:rsidP="004F15A1">
            <w:pPr>
              <w:spacing w:before="40" w:after="40" w:line="276" w:lineRule="auto"/>
              <w:jc w:val="left"/>
              <w:rPr>
                <w:sz w:val="20"/>
                <w:szCs w:val="22"/>
                <w:lang w:eastAsia="de-DE" w:bidi="ar-SA"/>
              </w:rPr>
            </w:pPr>
            <w:r>
              <w:rPr>
                <w:sz w:val="20"/>
                <w:szCs w:val="22"/>
                <w:lang w:eastAsia="de-DE" w:bidi="ar-SA"/>
              </w:rPr>
              <w:t>FRAUD PREVENTIONS PROCEDURES</w:t>
            </w:r>
          </w:p>
        </w:tc>
      </w:tr>
      <w:tr w:rsidR="00A8695A" w:rsidRPr="00577DC1" w14:paraId="7B0DC55D" w14:textId="77777777" w:rsidTr="004F15A1">
        <w:trPr>
          <w:cantSplit/>
          <w:trHeight w:val="334"/>
        </w:trPr>
        <w:tc>
          <w:tcPr>
            <w:tcW w:w="2555" w:type="dxa"/>
          </w:tcPr>
          <w:p w14:paraId="74968AC8"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6</w:t>
            </w:r>
          </w:p>
        </w:tc>
        <w:tc>
          <w:tcPr>
            <w:tcW w:w="6998" w:type="dxa"/>
          </w:tcPr>
          <w:p w14:paraId="4E5702A8" w14:textId="77777777" w:rsidR="00A8695A" w:rsidRPr="00577DC1" w:rsidRDefault="00A8695A" w:rsidP="004F15A1">
            <w:pPr>
              <w:spacing w:before="40" w:after="40" w:line="276" w:lineRule="auto"/>
              <w:jc w:val="left"/>
              <w:rPr>
                <w:sz w:val="20"/>
                <w:szCs w:val="22"/>
                <w:lang w:eastAsia="de-DE" w:bidi="ar-SA"/>
              </w:rPr>
            </w:pPr>
            <w:r>
              <w:rPr>
                <w:sz w:val="20"/>
                <w:szCs w:val="22"/>
                <w:lang w:eastAsia="de-DE" w:bidi="ar-SA"/>
              </w:rPr>
              <w:t>SERVICE LEVEL AGREEMENT</w:t>
            </w:r>
          </w:p>
        </w:tc>
      </w:tr>
      <w:tr w:rsidR="00A8695A" w:rsidRPr="00577DC1" w14:paraId="2DD5C3DD" w14:textId="77777777" w:rsidTr="004F15A1">
        <w:trPr>
          <w:cantSplit/>
          <w:trHeight w:val="334"/>
        </w:trPr>
        <w:tc>
          <w:tcPr>
            <w:tcW w:w="2555" w:type="dxa"/>
          </w:tcPr>
          <w:p w14:paraId="5A5974EC" w14:textId="77777777" w:rsidR="00A8695A" w:rsidRPr="00577DC1" w:rsidRDefault="00A8695A" w:rsidP="004F15A1">
            <w:pPr>
              <w:spacing w:before="40" w:after="40" w:line="276" w:lineRule="auto"/>
              <w:jc w:val="left"/>
              <w:rPr>
                <w:sz w:val="20"/>
                <w:szCs w:val="22"/>
                <w:lang w:eastAsia="de-DE" w:bidi="ar-SA"/>
              </w:rPr>
            </w:pPr>
            <w:r w:rsidRPr="00577DC1">
              <w:rPr>
                <w:sz w:val="20"/>
                <w:szCs w:val="22"/>
                <w:lang w:eastAsia="de-DE" w:bidi="ar-SA"/>
              </w:rPr>
              <w:t>ANNEX 7</w:t>
            </w:r>
          </w:p>
        </w:tc>
        <w:tc>
          <w:tcPr>
            <w:tcW w:w="6998" w:type="dxa"/>
          </w:tcPr>
          <w:p w14:paraId="34E7708E" w14:textId="77777777" w:rsidR="00A8695A" w:rsidRPr="00577DC1" w:rsidRDefault="00A8695A" w:rsidP="004F15A1">
            <w:pPr>
              <w:spacing w:before="40" w:after="40" w:line="276" w:lineRule="auto"/>
              <w:jc w:val="left"/>
              <w:rPr>
                <w:sz w:val="20"/>
                <w:szCs w:val="22"/>
                <w:lang w:eastAsia="de-DE" w:bidi="ar-SA"/>
              </w:rPr>
            </w:pPr>
            <w:r w:rsidRPr="00AE57CA">
              <w:rPr>
                <w:szCs w:val="24"/>
                <w:lang w:eastAsia="de-DE" w:bidi="ar-SA"/>
              </w:rPr>
              <w:t>CONTACTS, TARIFFS AND OTHER INFORMATION</w:t>
            </w:r>
          </w:p>
        </w:tc>
      </w:tr>
    </w:tbl>
    <w:p w14:paraId="7CC7CBAD" w14:textId="77777777" w:rsidR="00A8695A" w:rsidRPr="00577DC1" w:rsidRDefault="00A8695A" w:rsidP="00A8695A"/>
    <w:p w14:paraId="17DD9640" w14:textId="77777777" w:rsidR="00A8695A" w:rsidRPr="00577DC1" w:rsidRDefault="00A8695A" w:rsidP="00A8695A"/>
    <w:p w14:paraId="2AD9C608" w14:textId="77777777" w:rsidR="00A8695A" w:rsidRPr="00577DC1" w:rsidRDefault="00A8695A" w:rsidP="00A8695A">
      <w:pPr>
        <w:pStyle w:val="Annex"/>
        <w:numPr>
          <w:ilvl w:val="0"/>
          <w:numId w:val="0"/>
        </w:numPr>
      </w:pPr>
      <w:r w:rsidRPr="00577DC1">
        <w:br w:type="page"/>
        <w:t>ANNEX 1 AGREEMENT MANAGEMENT PRINCIPLES</w:t>
      </w:r>
    </w:p>
    <w:p w14:paraId="7F8EDDE5" w14:textId="77777777" w:rsidR="00A8695A" w:rsidRPr="00577DC1" w:rsidRDefault="00A8695A" w:rsidP="00A8695A">
      <w:pPr>
        <w:rPr>
          <w:b/>
        </w:rPr>
      </w:pPr>
      <w:r w:rsidRPr="00577DC1">
        <w:rPr>
          <w:b/>
        </w:rPr>
        <w:t>Notices</w:t>
      </w:r>
    </w:p>
    <w:p w14:paraId="26E394DA" w14:textId="77777777" w:rsidR="00A8695A" w:rsidRPr="00577DC1" w:rsidRDefault="00A8695A" w:rsidP="00A8695A">
      <w:r w:rsidRPr="00577DC1">
        <w:t>All notices, information and communications required under this Agreement shall be given in writing and be in the English language and shall be sent either by mail, or preferably secure email to the addresses indicated in Annex 7:</w:t>
      </w:r>
    </w:p>
    <w:p w14:paraId="03D23003" w14:textId="77777777" w:rsidR="00A8695A" w:rsidRPr="00577DC1" w:rsidRDefault="00A8695A" w:rsidP="00A8695A">
      <w:r w:rsidRPr="00577DC1">
        <w:t>Preferably each Party specifies only one contact point for exchange of updates to the Agreement.</w:t>
      </w:r>
    </w:p>
    <w:p w14:paraId="31889B23" w14:textId="77777777" w:rsidR="00A8695A" w:rsidRPr="00577DC1" w:rsidRDefault="00A8695A" w:rsidP="00A8695A">
      <w:pPr>
        <w:rPr>
          <w:b/>
        </w:rPr>
      </w:pPr>
      <w:r w:rsidRPr="00577DC1">
        <w:rPr>
          <w:b/>
        </w:rPr>
        <w:t>Revision Procedure</w:t>
      </w:r>
    </w:p>
    <w:p w14:paraId="60B46275" w14:textId="77777777" w:rsidR="00A8695A" w:rsidRPr="00577DC1" w:rsidRDefault="00A8695A" w:rsidP="00A8695A">
      <w:r w:rsidRPr="00577DC1">
        <w:t>The right to amend or vary the terms of any Annex or Addenda is set out in this Agreement.</w:t>
      </w:r>
    </w:p>
    <w:p w14:paraId="03320D0E" w14:textId="77777777" w:rsidR="00A8695A" w:rsidRPr="00577DC1" w:rsidRDefault="00A8695A" w:rsidP="00A8695A">
      <w:r w:rsidRPr="00577DC1">
        <w:t>All updates to the Annexes shall be exchanged by mail, courier or preferably secure email to the addresses indicated in Annex 7.</w:t>
      </w:r>
    </w:p>
    <w:p w14:paraId="322B90CD" w14:textId="77777777" w:rsidR="00A8695A" w:rsidRPr="00577DC1" w:rsidRDefault="00A8695A" w:rsidP="00A8695A">
      <w:pPr>
        <w:rPr>
          <w:b/>
        </w:rPr>
      </w:pPr>
      <w:r w:rsidRPr="00577DC1">
        <w:rPr>
          <w:b/>
        </w:rPr>
        <w:t>Effective Dates</w:t>
      </w:r>
    </w:p>
    <w:p w14:paraId="4C5EE396" w14:textId="77777777" w:rsidR="00A8695A" w:rsidRPr="00577DC1" w:rsidRDefault="00A8695A" w:rsidP="00A8695A">
      <w:r w:rsidRPr="00577DC1">
        <w:t xml:space="preserve">Each revision shall be clearly identified by its Revision date as agreed between the parties. </w:t>
      </w:r>
    </w:p>
    <w:p w14:paraId="6F4DDD89" w14:textId="77777777" w:rsidR="00A8695A" w:rsidRPr="00577DC1" w:rsidRDefault="00A8695A" w:rsidP="00A8695A">
      <w:pPr>
        <w:spacing w:before="0"/>
      </w:pPr>
      <w:r w:rsidRPr="00577DC1">
        <w:br w:type="page"/>
      </w:r>
    </w:p>
    <w:p w14:paraId="1938CE21" w14:textId="77777777" w:rsidR="00A8695A" w:rsidRPr="00577DC1" w:rsidRDefault="00A8695A" w:rsidP="00A8695A">
      <w:pPr>
        <w:keepNext/>
        <w:keepLines/>
        <w:spacing w:before="360" w:after="60" w:line="276" w:lineRule="auto"/>
        <w:jc w:val="left"/>
        <w:outlineLvl w:val="0"/>
        <w:rPr>
          <w:b/>
          <w:sz w:val="28"/>
        </w:rPr>
      </w:pPr>
      <w:r w:rsidRPr="00577DC1">
        <w:rPr>
          <w:b/>
          <w:sz w:val="28"/>
        </w:rPr>
        <w:t>ANNEX 2 Wi-Fi INFLIGHT SERVICES</w:t>
      </w:r>
    </w:p>
    <w:p w14:paraId="3348771F" w14:textId="77777777" w:rsidR="00A8695A" w:rsidRPr="00577DC1" w:rsidRDefault="00A8695A" w:rsidP="00A8695A">
      <w:r w:rsidRPr="00577DC1">
        <w:t xml:space="preserve">The implementation of the Wi-Fi Inflight Services shall be in accordance with the Technical Specifications </w:t>
      </w:r>
      <w:proofErr w:type="gramStart"/>
      <w:r w:rsidRPr="00577DC1">
        <w:t>with the exception of</w:t>
      </w:r>
      <w:proofErr w:type="gramEnd"/>
      <w:r w:rsidRPr="00577DC1">
        <w:t xml:space="preserve"> specific deviations and/or chosen options agreed by both Parties (including the IFC Provider where appropriate) during the testing phase.</w:t>
      </w:r>
    </w:p>
    <w:p w14:paraId="7E0E9D66" w14:textId="77777777" w:rsidR="00A8695A" w:rsidRPr="00577DC1" w:rsidRDefault="00A8695A" w:rsidP="00A8695A">
      <w:pPr>
        <w:rPr>
          <w:b/>
          <w:caps/>
        </w:rPr>
      </w:pPr>
      <w:r w:rsidRPr="00577DC1">
        <w:t>Both parties acknowledge that where an IFC Provider does exist, there are additional timescales to take into consideration for the changes to take place. The testing services may be carried out on behalf of the airline by the IFC Provider.</w:t>
      </w:r>
    </w:p>
    <w:p w14:paraId="11B95AA7" w14:textId="77777777" w:rsidR="00A8695A" w:rsidRPr="00577DC1" w:rsidRDefault="00A8695A" w:rsidP="00A8695A">
      <w:pPr>
        <w:keepNext/>
        <w:keepLines/>
        <w:spacing w:before="360" w:after="60" w:line="276" w:lineRule="auto"/>
        <w:jc w:val="left"/>
        <w:outlineLvl w:val="0"/>
        <w:rPr>
          <w:b/>
          <w:sz w:val="28"/>
        </w:rPr>
      </w:pPr>
      <w:r w:rsidRPr="00577DC1">
        <w:rPr>
          <w:b/>
          <w:sz w:val="28"/>
        </w:rPr>
        <w:br w:type="page"/>
        <w:t>ANNEX 3 BILLING AND ACCOUNTING</w:t>
      </w:r>
    </w:p>
    <w:p w14:paraId="0ED7713E" w14:textId="77777777" w:rsidR="00A8695A" w:rsidRPr="00577DC1" w:rsidRDefault="00A8695A" w:rsidP="00A8695A">
      <w:r w:rsidRPr="00577DC1">
        <w:t>Billing and Accounting relating to this Agreement comes into effect as from the confirmed starting date, as stated in the agreed Launch Letter.</w:t>
      </w:r>
    </w:p>
    <w:p w14:paraId="7A201051" w14:textId="77777777" w:rsidR="00A8695A" w:rsidRPr="00577DC1" w:rsidRDefault="00A8695A" w:rsidP="00A8695A">
      <w:r w:rsidRPr="00577DC1">
        <w:t>Both parties acknowledge that billing and reporting may not be processed by the airline, and the session data required for billing and reporting will be processed by the IFC Provider.</w:t>
      </w:r>
    </w:p>
    <w:p w14:paraId="3B1EE77E" w14:textId="77777777" w:rsidR="00A8695A" w:rsidRPr="00577DC1" w:rsidRDefault="00A8695A" w:rsidP="00A8695A">
      <w:pPr>
        <w:keepNext/>
        <w:keepLines/>
        <w:spacing w:before="360" w:after="60" w:line="276" w:lineRule="auto"/>
        <w:jc w:val="left"/>
        <w:outlineLvl w:val="0"/>
        <w:rPr>
          <w:b/>
          <w:sz w:val="28"/>
        </w:rPr>
      </w:pPr>
      <w:r w:rsidRPr="00577DC1">
        <w:rPr>
          <w:b/>
          <w:sz w:val="28"/>
        </w:rPr>
        <w:t>ANNEX 3.1 INFORMATION ON CDR BILLING DATA</w:t>
      </w:r>
    </w:p>
    <w:p w14:paraId="2BA38E30" w14:textId="77777777" w:rsidR="00A8695A" w:rsidRPr="00577DC1" w:rsidRDefault="00A8695A" w:rsidP="00A8695A">
      <w:pPr>
        <w:spacing w:before="0"/>
        <w:rPr>
          <w:rFonts w:eastAsia="Arial" w:cs="Arial"/>
          <w:szCs w:val="22"/>
        </w:rPr>
      </w:pPr>
      <w:r w:rsidRPr="00577DC1">
        <w:t xml:space="preserve">Information on billing that is not explicitly stated in ANNEX 3.1 is exchanged based on </w:t>
      </w:r>
      <w:proofErr w:type="spellStart"/>
      <w:r w:rsidRPr="00577DC1">
        <w:t>CDRs.</w:t>
      </w:r>
      <w:proofErr w:type="spellEnd"/>
      <w:r w:rsidRPr="00577DC1">
        <w:t xml:space="preserve"> </w:t>
      </w:r>
      <w:r w:rsidRPr="00577DC1">
        <w:rPr>
          <w:rFonts w:eastAsia="Arial" w:cs="Arial"/>
          <w:szCs w:val="22"/>
        </w:rPr>
        <w:t>Information</w:t>
      </w:r>
      <w:r w:rsidRPr="00577DC1">
        <w:rPr>
          <w:rFonts w:ascii="Calibri" w:eastAsia="Calibri" w:hAnsi="Calibri" w:cs="Calibri"/>
          <w:szCs w:val="22"/>
        </w:rPr>
        <w:t xml:space="preserve"> </w:t>
      </w:r>
      <w:r w:rsidRPr="00577DC1">
        <w:rPr>
          <w:rFonts w:eastAsia="Arial" w:cs="Arial"/>
          <w:szCs w:val="22"/>
        </w:rPr>
        <w:t xml:space="preserve">contained with the Call Detail </w:t>
      </w:r>
      <w:r>
        <w:rPr>
          <w:rFonts w:eastAsia="Arial" w:cs="Arial"/>
          <w:szCs w:val="22"/>
        </w:rPr>
        <w:t>R</w:t>
      </w:r>
      <w:r w:rsidRPr="00577DC1">
        <w:rPr>
          <w:rFonts w:eastAsia="Arial" w:cs="Arial"/>
          <w:szCs w:val="22"/>
        </w:rPr>
        <w:t>ecords will be agreed between the parties based on their requirements but can include.</w:t>
      </w:r>
    </w:p>
    <w:p w14:paraId="3C9290DE" w14:textId="77777777" w:rsidR="00A8695A" w:rsidRPr="00577DC1" w:rsidRDefault="00A8695A" w:rsidP="00A8695A">
      <w:pPr>
        <w:spacing w:before="0"/>
        <w:ind w:left="1440"/>
        <w:rPr>
          <w:rFonts w:eastAsia="Arial" w:cs="Arial"/>
          <w:szCs w:val="22"/>
        </w:rPr>
      </w:pPr>
      <w:r w:rsidRPr="00577DC1">
        <w:rPr>
          <w:rFonts w:eastAsia="Arial" w:cs="Arial"/>
          <w:szCs w:val="22"/>
        </w:rPr>
        <w:t xml:space="preserve"> </w:t>
      </w:r>
    </w:p>
    <w:p w14:paraId="5DCC6EC9"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 xml:space="preserve">The </w:t>
      </w:r>
      <w:r w:rsidRPr="00577DC1">
        <w:rPr>
          <w:rFonts w:eastAsia="Arial" w:cs="Arial"/>
          <w:b/>
          <w:bCs/>
          <w:szCs w:val="22"/>
        </w:rPr>
        <w:t>VNP and HNP</w:t>
      </w:r>
      <w:r w:rsidRPr="00577DC1">
        <w:rPr>
          <w:rFonts w:eastAsia="Arial" w:cs="Arial"/>
          <w:szCs w:val="22"/>
        </w:rPr>
        <w:t xml:space="preserve"> (Agreed identifiers).</w:t>
      </w:r>
    </w:p>
    <w:p w14:paraId="06C30292"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 xml:space="preserve">The </w:t>
      </w:r>
      <w:r w:rsidRPr="00577DC1">
        <w:rPr>
          <w:rFonts w:eastAsia="Arial" w:cs="Arial"/>
          <w:b/>
          <w:bCs/>
          <w:szCs w:val="22"/>
        </w:rPr>
        <w:t>start and end times</w:t>
      </w:r>
      <w:r w:rsidRPr="00577DC1">
        <w:rPr>
          <w:rFonts w:eastAsia="Arial" w:cs="Arial"/>
          <w:szCs w:val="22"/>
        </w:rPr>
        <w:t xml:space="preserve"> of the session.</w:t>
      </w:r>
    </w:p>
    <w:p w14:paraId="02463D96"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 xml:space="preserve">The </w:t>
      </w:r>
      <w:r w:rsidRPr="00577DC1">
        <w:rPr>
          <w:rFonts w:eastAsia="Arial" w:cs="Arial"/>
          <w:b/>
          <w:bCs/>
          <w:szCs w:val="22"/>
        </w:rPr>
        <w:t>duration</w:t>
      </w:r>
      <w:r w:rsidRPr="00577DC1">
        <w:rPr>
          <w:rFonts w:eastAsia="Arial" w:cs="Arial"/>
          <w:szCs w:val="22"/>
        </w:rPr>
        <w:t xml:space="preserve"> of the session.</w:t>
      </w:r>
    </w:p>
    <w:p w14:paraId="5BB54CDA"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 xml:space="preserve">The </w:t>
      </w:r>
      <w:r w:rsidRPr="00577DC1">
        <w:rPr>
          <w:rFonts w:eastAsia="Arial" w:cs="Arial"/>
          <w:b/>
          <w:bCs/>
          <w:szCs w:val="22"/>
        </w:rPr>
        <w:t>volume</w:t>
      </w:r>
      <w:r w:rsidRPr="00577DC1">
        <w:rPr>
          <w:rFonts w:eastAsia="Arial" w:cs="Arial"/>
          <w:szCs w:val="22"/>
        </w:rPr>
        <w:t xml:space="preserve"> of the session</w:t>
      </w:r>
    </w:p>
    <w:p w14:paraId="55522B3A"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The</w:t>
      </w:r>
      <w:r w:rsidRPr="00577DC1">
        <w:rPr>
          <w:rFonts w:eastAsia="Arial" w:cs="Arial"/>
          <w:b/>
          <w:bCs/>
          <w:szCs w:val="22"/>
        </w:rPr>
        <w:t xml:space="preserve"> Record Source</w:t>
      </w:r>
      <w:r w:rsidRPr="00577DC1">
        <w:rPr>
          <w:rFonts w:eastAsia="Arial" w:cs="Arial"/>
          <w:szCs w:val="22"/>
        </w:rPr>
        <w:t xml:space="preserve"> RADIUS, Diameter GSM etc </w:t>
      </w:r>
    </w:p>
    <w:p w14:paraId="4C512D5B"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b/>
          <w:bCs/>
          <w:szCs w:val="22"/>
        </w:rPr>
      </w:pPr>
      <w:r w:rsidRPr="00577DC1">
        <w:rPr>
          <w:rFonts w:eastAsia="Arial" w:cs="Arial"/>
          <w:szCs w:val="22"/>
        </w:rPr>
        <w:t>The</w:t>
      </w:r>
      <w:r w:rsidRPr="00577DC1">
        <w:rPr>
          <w:rFonts w:eastAsia="Arial" w:cs="Arial"/>
          <w:b/>
          <w:bCs/>
          <w:szCs w:val="22"/>
        </w:rPr>
        <w:t xml:space="preserve"> Charging Time</w:t>
      </w:r>
      <w:r>
        <w:rPr>
          <w:rFonts w:eastAsia="Arial" w:cs="Arial"/>
          <w:b/>
          <w:bCs/>
          <w:szCs w:val="22"/>
        </w:rPr>
        <w:t xml:space="preserve"> </w:t>
      </w:r>
      <w:r w:rsidRPr="00577DC1">
        <w:rPr>
          <w:rFonts w:eastAsia="Arial" w:cs="Arial"/>
          <w:b/>
          <w:bCs/>
          <w:szCs w:val="22"/>
        </w:rPr>
        <w:t>(</w:t>
      </w:r>
      <w:r w:rsidRPr="00577DC1">
        <w:rPr>
          <w:rFonts w:eastAsia="Arial" w:cs="Arial"/>
          <w:szCs w:val="22"/>
        </w:rPr>
        <w:t>UTC Offset</w:t>
      </w:r>
      <w:r w:rsidRPr="00577DC1">
        <w:rPr>
          <w:rFonts w:eastAsia="Arial" w:cs="Arial"/>
          <w:b/>
          <w:bCs/>
          <w:szCs w:val="22"/>
        </w:rPr>
        <w:t>)</w:t>
      </w:r>
    </w:p>
    <w:p w14:paraId="6145DB5E" w14:textId="77777777" w:rsidR="00A8695A" w:rsidRPr="00577DC1" w:rsidRDefault="00A8695A" w:rsidP="00A8695A">
      <w:pPr>
        <w:pStyle w:val="ListParagraph"/>
        <w:numPr>
          <w:ilvl w:val="0"/>
          <w:numId w:val="17"/>
        </w:numPr>
        <w:tabs>
          <w:tab w:val="clear" w:pos="360"/>
          <w:tab w:val="left" w:pos="340"/>
        </w:tabs>
        <w:spacing w:after="0"/>
        <w:ind w:left="720" w:hanging="340"/>
        <w:rPr>
          <w:rFonts w:eastAsia="Arial" w:cs="Arial"/>
          <w:szCs w:val="22"/>
        </w:rPr>
      </w:pPr>
      <w:r w:rsidRPr="00577DC1">
        <w:rPr>
          <w:rFonts w:eastAsia="Arial" w:cs="Arial"/>
          <w:szCs w:val="22"/>
        </w:rPr>
        <w:t xml:space="preserve">The </w:t>
      </w:r>
      <w:r w:rsidRPr="00577DC1">
        <w:rPr>
          <w:rFonts w:eastAsia="Arial" w:cs="Arial"/>
          <w:b/>
          <w:bCs/>
          <w:szCs w:val="22"/>
        </w:rPr>
        <w:t>Termination</w:t>
      </w:r>
      <w:r w:rsidRPr="00577DC1">
        <w:rPr>
          <w:rFonts w:eastAsia="Arial" w:cs="Arial"/>
          <w:szCs w:val="22"/>
        </w:rPr>
        <w:t xml:space="preserve"> Cause </w:t>
      </w:r>
    </w:p>
    <w:p w14:paraId="4FFD80C9" w14:textId="77777777" w:rsidR="00A8695A" w:rsidRPr="00577DC1" w:rsidRDefault="00A8695A" w:rsidP="00A8695A">
      <w:pPr>
        <w:keepNext/>
        <w:keepLines/>
        <w:spacing w:before="360" w:after="60" w:line="276" w:lineRule="auto"/>
        <w:jc w:val="left"/>
        <w:outlineLvl w:val="0"/>
        <w:rPr>
          <w:b/>
          <w:sz w:val="28"/>
        </w:rPr>
      </w:pPr>
      <w:r w:rsidRPr="00577DC1">
        <w:rPr>
          <w:b/>
          <w:sz w:val="28"/>
        </w:rPr>
        <w:t>ANNEX 3.1.1 INFORMATION ON CDR</w:t>
      </w:r>
    </w:p>
    <w:p w14:paraId="4B427E7A" w14:textId="77777777" w:rsidR="00A8695A" w:rsidRPr="00577DC1" w:rsidRDefault="00A8695A" w:rsidP="00A8695A">
      <w:pPr>
        <w:rPr>
          <w:b/>
        </w:rPr>
      </w:pPr>
      <w:r w:rsidRPr="00577DC1">
        <w:rPr>
          <w:b/>
        </w:rPr>
        <w:t>Data Exchange Procedure</w:t>
      </w:r>
    </w:p>
    <w:p w14:paraId="50FAF7E5" w14:textId="77777777" w:rsidR="00A8695A" w:rsidRPr="00577DC1" w:rsidRDefault="00A8695A" w:rsidP="00A8695A">
      <w:r w:rsidRPr="00577DC1">
        <w:t>Interchange of CDR records shall be performed by Electronic Data Interchange (EDI).</w:t>
      </w:r>
    </w:p>
    <w:p w14:paraId="4704E368" w14:textId="77777777" w:rsidR="00A8695A" w:rsidRPr="00577DC1" w:rsidRDefault="00A8695A" w:rsidP="00A8695A">
      <w:pPr>
        <w:numPr>
          <w:ilvl w:val="0"/>
          <w:numId w:val="11"/>
        </w:numPr>
        <w:tabs>
          <w:tab w:val="num" w:pos="360"/>
          <w:tab w:val="left" w:pos="680"/>
        </w:tabs>
        <w:spacing w:before="0" w:after="200" w:line="276" w:lineRule="auto"/>
        <w:ind w:left="0" w:firstLine="0"/>
        <w:contextualSpacing/>
        <w:jc w:val="left"/>
        <w:rPr>
          <w:szCs w:val="22"/>
          <w:lang w:eastAsia="en-GB" w:bidi="ar-SA"/>
        </w:rPr>
      </w:pPr>
      <w:r w:rsidRPr="00577DC1">
        <w:rPr>
          <w:szCs w:val="22"/>
          <w:lang w:eastAsia="en-GB" w:bidi="ar-SA"/>
        </w:rPr>
        <w:t>Transfer shall be within the standard timescale and the standard frequency as agreed between the parties.</w:t>
      </w:r>
    </w:p>
    <w:p w14:paraId="2194F71B" w14:textId="77777777" w:rsidR="00A8695A" w:rsidRPr="00577DC1" w:rsidRDefault="00A8695A" w:rsidP="00A8695A">
      <w:pPr>
        <w:numPr>
          <w:ilvl w:val="0"/>
          <w:numId w:val="11"/>
        </w:numPr>
        <w:tabs>
          <w:tab w:val="num" w:pos="360"/>
          <w:tab w:val="left" w:pos="680"/>
        </w:tabs>
        <w:spacing w:before="0" w:after="200" w:line="276" w:lineRule="auto"/>
        <w:ind w:left="0" w:firstLine="0"/>
        <w:contextualSpacing/>
        <w:jc w:val="left"/>
        <w:rPr>
          <w:szCs w:val="22"/>
          <w:lang w:eastAsia="en-GB" w:bidi="ar-SA"/>
        </w:rPr>
      </w:pPr>
      <w:r w:rsidRPr="00577DC1">
        <w:rPr>
          <w:szCs w:val="22"/>
          <w:lang w:eastAsia="en-GB" w:bidi="ar-SA"/>
        </w:rPr>
        <w:t>For the time being the transfer schedules for &lt;A&gt; shall be as follows:</w:t>
      </w:r>
    </w:p>
    <w:p w14:paraId="6AD896FB" w14:textId="77777777" w:rsidR="00A8695A" w:rsidRPr="00577DC1" w:rsidRDefault="00A8695A" w:rsidP="00A8695A">
      <w:pPr>
        <w:numPr>
          <w:ilvl w:val="0"/>
          <w:numId w:val="11"/>
        </w:numPr>
        <w:tabs>
          <w:tab w:val="num" w:pos="360"/>
          <w:tab w:val="left" w:pos="680"/>
        </w:tabs>
        <w:spacing w:before="0" w:after="200" w:line="276" w:lineRule="auto"/>
        <w:ind w:left="0" w:firstLine="0"/>
        <w:contextualSpacing/>
        <w:jc w:val="left"/>
        <w:rPr>
          <w:szCs w:val="22"/>
          <w:lang w:eastAsia="en-GB" w:bidi="ar-SA"/>
        </w:rPr>
      </w:pPr>
      <w:r w:rsidRPr="00577DC1">
        <w:rPr>
          <w:i/>
          <w:szCs w:val="22"/>
          <w:lang w:eastAsia="en-GB" w:bidi="ar-SA"/>
        </w:rPr>
        <w:t>XXXXXXXXXXXX</w:t>
      </w:r>
    </w:p>
    <w:p w14:paraId="122502AA" w14:textId="77777777" w:rsidR="00A8695A" w:rsidRPr="00577DC1" w:rsidRDefault="00A8695A" w:rsidP="00A8695A">
      <w:pPr>
        <w:numPr>
          <w:ilvl w:val="0"/>
          <w:numId w:val="11"/>
        </w:numPr>
        <w:tabs>
          <w:tab w:val="num" w:pos="360"/>
          <w:tab w:val="left" w:pos="680"/>
        </w:tabs>
        <w:spacing w:before="0" w:after="200" w:line="276" w:lineRule="auto"/>
        <w:ind w:left="0" w:firstLine="0"/>
        <w:contextualSpacing/>
        <w:jc w:val="left"/>
        <w:rPr>
          <w:szCs w:val="22"/>
          <w:lang w:eastAsia="en-GB" w:bidi="ar-SA"/>
        </w:rPr>
      </w:pPr>
      <w:r w:rsidRPr="00577DC1">
        <w:rPr>
          <w:szCs w:val="22"/>
          <w:lang w:eastAsia="en-GB" w:bidi="ar-SA"/>
        </w:rPr>
        <w:t>Any changes in the exchange frequency shall be agreed before implementation.</w:t>
      </w:r>
    </w:p>
    <w:p w14:paraId="30E3E164" w14:textId="77777777" w:rsidR="00A8695A" w:rsidRPr="00577DC1" w:rsidRDefault="00A8695A" w:rsidP="00A8695A">
      <w:pPr>
        <w:numPr>
          <w:ilvl w:val="0"/>
          <w:numId w:val="11"/>
        </w:numPr>
        <w:tabs>
          <w:tab w:val="num" w:pos="360"/>
          <w:tab w:val="left" w:pos="680"/>
        </w:tabs>
        <w:spacing w:before="0" w:after="200" w:line="276" w:lineRule="auto"/>
        <w:ind w:left="0" w:firstLine="0"/>
        <w:contextualSpacing/>
        <w:jc w:val="left"/>
        <w:rPr>
          <w:szCs w:val="22"/>
          <w:lang w:eastAsia="en-GB" w:bidi="ar-SA"/>
        </w:rPr>
      </w:pPr>
      <w:r w:rsidRPr="00577DC1">
        <w:rPr>
          <w:szCs w:val="22"/>
          <w:lang w:eastAsia="en-GB" w:bidi="ar-SA"/>
        </w:rPr>
        <w:t xml:space="preserve">When no charging data are available </w:t>
      </w:r>
      <w:r w:rsidRPr="00577DC1">
        <w:rPr>
          <w:szCs w:val="22"/>
          <w:u w:val="single"/>
          <w:lang w:eastAsia="en-GB" w:bidi="ar-SA"/>
        </w:rPr>
        <w:t>Notification files</w:t>
      </w:r>
      <w:r w:rsidRPr="00577DC1">
        <w:rPr>
          <w:szCs w:val="22"/>
          <w:lang w:eastAsia="en-GB" w:bidi="ar-SA"/>
        </w:rPr>
        <w:t xml:space="preserve"> will be sent.</w:t>
      </w:r>
    </w:p>
    <w:p w14:paraId="314A848F" w14:textId="77777777" w:rsidR="00A8695A" w:rsidRPr="00577DC1" w:rsidRDefault="00A8695A" w:rsidP="00A8695A">
      <w:r w:rsidRPr="00577DC1">
        <w:t>EDI Address as well as Contact Points for enquiries and complaints are defined in A</w:t>
      </w:r>
      <w:r>
        <w:t>nnex</w:t>
      </w:r>
      <w:r w:rsidRPr="00577DC1">
        <w:t xml:space="preserve"> 7.</w:t>
      </w:r>
    </w:p>
    <w:p w14:paraId="12CC2384" w14:textId="77777777" w:rsidR="00A8695A" w:rsidRPr="00577DC1" w:rsidRDefault="00A8695A" w:rsidP="00A8695A">
      <w:pPr>
        <w:spacing w:before="0" w:line="276" w:lineRule="auto"/>
        <w:jc w:val="left"/>
        <w:rPr>
          <w:szCs w:val="22"/>
          <w:lang w:eastAsia="en-GB" w:bidi="ar-SA"/>
        </w:rPr>
      </w:pPr>
      <w:proofErr w:type="spellStart"/>
      <w:r w:rsidRPr="00577DC1">
        <w:rPr>
          <w:szCs w:val="22"/>
          <w:lang w:eastAsia="en-GB" w:bidi="ar-SA"/>
        </w:rPr>
        <w:t>CDRs.</w:t>
      </w:r>
      <w:proofErr w:type="spellEnd"/>
    </w:p>
    <w:p w14:paraId="3C7B2FF5" w14:textId="77777777" w:rsidR="00A8695A" w:rsidRPr="00577DC1" w:rsidRDefault="00A8695A" w:rsidP="00A8695A">
      <w:pPr>
        <w:rPr>
          <w:b/>
        </w:rPr>
      </w:pPr>
      <w:r w:rsidRPr="00577DC1">
        <w:rPr>
          <w:b/>
        </w:rPr>
        <w:t xml:space="preserve">Fallback Procedure </w:t>
      </w:r>
    </w:p>
    <w:p w14:paraId="5CEB9BE6" w14:textId="77777777" w:rsidR="00A8695A" w:rsidRPr="00577DC1" w:rsidRDefault="00A8695A" w:rsidP="00A8695A">
      <w:r w:rsidRPr="00577DC1">
        <w:t>In case of EDI failures or delays in EDI transfer the fallback procedure shall come into effect as agreed between the parties.</w:t>
      </w:r>
    </w:p>
    <w:p w14:paraId="55C8B4D9" w14:textId="77777777" w:rsidR="00A8695A" w:rsidRPr="00577DC1" w:rsidRDefault="00A8695A" w:rsidP="00A8695A">
      <w:r w:rsidRPr="00577DC1">
        <w:t>The use of the fallback procedure does not change the liability as defined under Data Exchange Procedure above.</w:t>
      </w:r>
    </w:p>
    <w:p w14:paraId="0FCED110" w14:textId="77777777" w:rsidR="00A8695A" w:rsidRPr="00577DC1" w:rsidRDefault="00A8695A" w:rsidP="00A8695A">
      <w:pPr>
        <w:rPr>
          <w:b/>
        </w:rPr>
      </w:pPr>
      <w:r w:rsidRPr="00577DC1">
        <w:rPr>
          <w:b/>
        </w:rPr>
        <w:t>Changes in the time schedules</w:t>
      </w:r>
    </w:p>
    <w:p w14:paraId="0C36F954" w14:textId="77777777" w:rsidR="00A8695A" w:rsidRPr="00577DC1" w:rsidRDefault="00A8695A" w:rsidP="00A8695A">
      <w:r w:rsidRPr="00577DC1">
        <w:t>Any changes in the time schedules concerning the exchange of billing files shall be agreed before implementation.</w:t>
      </w:r>
    </w:p>
    <w:p w14:paraId="3407CCEE" w14:textId="77777777" w:rsidR="00A8695A" w:rsidRPr="00577DC1" w:rsidRDefault="00A8695A" w:rsidP="00A8695A">
      <w:pPr>
        <w:rPr>
          <w:b/>
        </w:rPr>
      </w:pPr>
      <w:r w:rsidRPr="00577DC1">
        <w:rPr>
          <w:b/>
        </w:rPr>
        <w:t>Data Clearing House</w:t>
      </w:r>
    </w:p>
    <w:p w14:paraId="2A4D8FE4" w14:textId="77777777" w:rsidR="00A8695A" w:rsidRPr="00577DC1" w:rsidRDefault="00A8695A" w:rsidP="00A8695A">
      <w:r w:rsidRPr="00577DC1">
        <w:t>In case of using Data Clearing House for data interchange, the responsibilities of the Parties remain as they are defined by the GSM Association and in GSM Association Permanent Reference Documents.</w:t>
      </w:r>
    </w:p>
    <w:p w14:paraId="7C95F7F7" w14:textId="77777777" w:rsidR="00A8695A" w:rsidRPr="00577DC1" w:rsidRDefault="00A8695A" w:rsidP="00A8695A">
      <w:pPr>
        <w:keepNext/>
        <w:keepLines/>
        <w:spacing w:before="360" w:after="60" w:line="276" w:lineRule="auto"/>
        <w:jc w:val="left"/>
        <w:outlineLvl w:val="0"/>
        <w:rPr>
          <w:b/>
          <w:sz w:val="28"/>
        </w:rPr>
      </w:pPr>
      <w:bookmarkStart w:id="95" w:name="_Toc291667032"/>
      <w:r>
        <w:rPr>
          <w:b/>
          <w:sz w:val="28"/>
        </w:rPr>
        <w:t>A</w:t>
      </w:r>
      <w:r w:rsidRPr="00577DC1">
        <w:rPr>
          <w:b/>
          <w:sz w:val="28"/>
        </w:rPr>
        <w:t xml:space="preserve">NNEX 3.2 SETTLEMENT PROCEDURE </w:t>
      </w:r>
      <w:bookmarkEnd w:id="95"/>
    </w:p>
    <w:p w14:paraId="2056AC47" w14:textId="77777777" w:rsidR="00A8695A" w:rsidRPr="00577DC1" w:rsidRDefault="00A8695A" w:rsidP="00A8695A">
      <w:r w:rsidRPr="00577DC1">
        <w:t>The Settlement Procedure in this A</w:t>
      </w:r>
      <w:r>
        <w:t>nnex</w:t>
      </w:r>
      <w:r w:rsidRPr="00577DC1">
        <w:t xml:space="preserve"> 3.2 applies to financial transactions involving traffic from start of the traffic period commencing by the &lt;commercial start letter of the Service&gt; or &lt;date&gt;.</w:t>
      </w:r>
    </w:p>
    <w:p w14:paraId="381BE8D9" w14:textId="77777777" w:rsidR="00A8695A" w:rsidRPr="00577DC1" w:rsidRDefault="00A8695A" w:rsidP="00A8695A">
      <w:r w:rsidRPr="00577DC1">
        <w:t>&lt;A&gt; shall prepare a monthly invoice for [usage/traffic/session/etc. …] registered during the invoice period made by the customers in &lt;A’s&gt; Airline.</w:t>
      </w:r>
    </w:p>
    <w:p w14:paraId="21C0AA7F" w14:textId="77777777" w:rsidR="00A8695A" w:rsidRPr="00577DC1" w:rsidRDefault="00A8695A" w:rsidP="00A8695A">
      <w:r w:rsidRPr="00577DC1">
        <w:t>The invoice period shall in general be a calendar month. However, a single transfer covering a month end shall not be divided between two invoices.</w:t>
      </w:r>
      <w:r>
        <w:t xml:space="preserve"> </w:t>
      </w:r>
      <w:r w:rsidRPr="00577DC1">
        <w:t xml:space="preserve">The invoice </w:t>
      </w:r>
      <w:proofErr w:type="gramStart"/>
      <w:r w:rsidRPr="00577DC1">
        <w:t>has to</w:t>
      </w:r>
      <w:proofErr w:type="gramEnd"/>
      <w:r w:rsidRPr="00577DC1">
        <w:t xml:space="preserve"> be sent by the &lt;xx&gt; of the following month at latest. An invoice notification may be sent to </w:t>
      </w:r>
      <w:r w:rsidRPr="00577DC1">
        <w:rPr>
          <w:i/>
        </w:rPr>
        <w:t>&lt;destination to be included here&gt;</w:t>
      </w:r>
      <w:r w:rsidRPr="00577DC1">
        <w:t>.</w:t>
      </w:r>
    </w:p>
    <w:p w14:paraId="77597F8F" w14:textId="77777777" w:rsidR="00A8695A" w:rsidRPr="00577DC1" w:rsidRDefault="00A8695A" w:rsidP="00A8695A">
      <w:r w:rsidRPr="00577DC1">
        <w:t>&lt;A&gt; will issue as appropriate credit notes and correction invoices to compensate for agreed changes to or agreed errors in the Operator invoices. The threshold amount for issuing the Credit Note by &lt;A&gt; to compensate &lt;B&gt; is &lt;X&gt; SDR. In any case, a Credit Note shall be issued at least once a year before the year-end if appropriate.</w:t>
      </w:r>
    </w:p>
    <w:p w14:paraId="3F7F7E58" w14:textId="77777777" w:rsidR="00A8695A" w:rsidRPr="00577DC1" w:rsidRDefault="00A8695A" w:rsidP="00A8695A">
      <w:pPr>
        <w:rPr>
          <w:b/>
        </w:rPr>
      </w:pPr>
      <w:r w:rsidRPr="00577DC1">
        <w:rPr>
          <w:b/>
        </w:rPr>
        <w:t>Direct Full Payment with Currency Conversion</w:t>
      </w:r>
    </w:p>
    <w:p w14:paraId="191ED74E" w14:textId="77777777" w:rsidR="00A8695A" w:rsidRPr="00577DC1" w:rsidRDefault="00A8695A" w:rsidP="00A8695A">
      <w:r w:rsidRPr="00577DC1">
        <w:t>The invoice amount (and credit note amount if appropriate) must be paid separately by the debtor in the Local or Payment Currency of the creditor as calculated from the SDR amounts as indicated on the invoice and/or credit note</w:t>
      </w:r>
    </w:p>
    <w:p w14:paraId="4F367CF0" w14:textId="77777777" w:rsidR="00A8695A" w:rsidRPr="00577DC1" w:rsidRDefault="00A8695A" w:rsidP="00A8695A">
      <w:r w:rsidRPr="00577DC1">
        <w:t>The conversion method from SDR into the currency of payment, is defined in PRD BA.1</w:t>
      </w:r>
      <w:r>
        <w:t xml:space="preserve">1 </w:t>
      </w:r>
      <w:r w:rsidRPr="00A060CB">
        <w:rPr>
          <w:i/>
          <w:iCs/>
        </w:rPr>
        <w:t>(</w:t>
      </w:r>
      <w:r w:rsidRPr="00944ED6">
        <w:rPr>
          <w:i/>
          <w:iCs/>
        </w:rPr>
        <w:t>only relevant where TAP or BCE is used</w:t>
      </w:r>
      <w:r>
        <w:rPr>
          <w:i/>
          <w:iCs/>
        </w:rPr>
        <w:t>)</w:t>
      </w:r>
      <w:r w:rsidRPr="00577DC1">
        <w:t>.</w:t>
      </w:r>
    </w:p>
    <w:p w14:paraId="7863E677" w14:textId="77777777" w:rsidR="00A8695A" w:rsidRPr="00577DC1" w:rsidRDefault="00A8695A" w:rsidP="00A8695A">
      <w:pPr>
        <w:rPr>
          <w:iCs/>
        </w:rPr>
      </w:pPr>
      <w:r w:rsidRPr="00577DC1">
        <w:rPr>
          <w:iCs/>
        </w:rPr>
        <w:t>Payment by &lt;B&gt; shall be made within 30 days from the date of the invoice with the later date.</w:t>
      </w:r>
    </w:p>
    <w:p w14:paraId="2B8D56EC" w14:textId="77777777" w:rsidR="00A8695A" w:rsidRPr="00577DC1" w:rsidRDefault="00A8695A" w:rsidP="00A8695A">
      <w:pPr>
        <w:rPr>
          <w:iCs/>
        </w:rPr>
      </w:pPr>
      <w:r w:rsidRPr="00577DC1">
        <w:rPr>
          <w:iCs/>
        </w:rPr>
        <w:t>If</w:t>
      </w:r>
      <w:r>
        <w:rPr>
          <w:iCs/>
        </w:rPr>
        <w:t xml:space="preserve"> </w:t>
      </w:r>
      <w:r w:rsidRPr="00577DC1">
        <w:rPr>
          <w:iCs/>
        </w:rPr>
        <w:t>&lt;B&gt; does not pay the clearing balance by the due date for payment then &lt;A&gt; shall have the right to charge its normal interest rate on the overdue amount from the due date for payment until payment is made.</w:t>
      </w:r>
    </w:p>
    <w:p w14:paraId="684C6097" w14:textId="77777777" w:rsidR="00A8695A" w:rsidRPr="00577DC1" w:rsidRDefault="00A8695A" w:rsidP="00A8695A">
      <w:pPr>
        <w:rPr>
          <w:iCs/>
        </w:rPr>
      </w:pPr>
      <w:r w:rsidRPr="00577DC1">
        <w:rPr>
          <w:iCs/>
        </w:rPr>
        <w:t>The normal interest rate for &lt;A&gt; is:</w:t>
      </w:r>
    </w:p>
    <w:p w14:paraId="55227E49" w14:textId="77777777" w:rsidR="00A8695A" w:rsidRPr="00577DC1" w:rsidRDefault="00A8695A" w:rsidP="00A8695A">
      <w:pPr>
        <w:rPr>
          <w:iCs/>
        </w:rPr>
      </w:pPr>
      <w:r w:rsidRPr="00577DC1">
        <w:rPr>
          <w:iCs/>
        </w:rPr>
        <w:t xml:space="preserve">....% above ....... base lending rate (from time to time in force) </w:t>
      </w:r>
    </w:p>
    <w:p w14:paraId="275392E8" w14:textId="77777777" w:rsidR="00A8695A" w:rsidRPr="00577DC1" w:rsidRDefault="00A8695A" w:rsidP="00A8695A">
      <w:r w:rsidRPr="00577DC1">
        <w:t>Changes in time schedules concerning the exchange of invoices and settlement periods shall be fixed three months before implementation at the latest.</w:t>
      </w:r>
    </w:p>
    <w:p w14:paraId="4C37A6B2" w14:textId="77777777" w:rsidR="00A8695A" w:rsidRPr="00577DC1" w:rsidRDefault="00A8695A" w:rsidP="00A8695A">
      <w:r w:rsidRPr="00577DC1">
        <w:t>All enquiries and complaints concerning international invoicing shall be done through points of contact as defined in Annex 7.</w:t>
      </w:r>
    </w:p>
    <w:p w14:paraId="0E02E165" w14:textId="77777777" w:rsidR="00A8695A" w:rsidRPr="00577DC1" w:rsidRDefault="00A8695A" w:rsidP="00A8695A">
      <w:pPr>
        <w:rPr>
          <w:i/>
          <w:iCs/>
        </w:rPr>
      </w:pPr>
      <w:r w:rsidRPr="00577DC1">
        <w:rPr>
          <w:iCs/>
        </w:rPr>
        <w:t>&lt;B&gt; shall pay any Value Added Tax (VAT) or other similar tax in accordance with the laws of the &lt;A&gt;’s country.</w:t>
      </w:r>
      <w:r>
        <w:rPr>
          <w:iCs/>
        </w:rPr>
        <w:t xml:space="preserve"> </w:t>
      </w:r>
      <w:r w:rsidRPr="00577DC1">
        <w:rPr>
          <w:iCs/>
        </w:rPr>
        <w:t>The application of VAT is defined in Annex 7.</w:t>
      </w:r>
    </w:p>
    <w:p w14:paraId="1F8D944B" w14:textId="77777777" w:rsidR="00A8695A" w:rsidRPr="00577DC1" w:rsidRDefault="00A8695A" w:rsidP="00A8695A">
      <w:r w:rsidRPr="00577DC1">
        <w:rPr>
          <w:b/>
        </w:rPr>
        <w:t>Bank</w:t>
      </w:r>
      <w:r w:rsidRPr="00577DC1">
        <w:t xml:space="preserve"> </w:t>
      </w:r>
      <w:r w:rsidRPr="00577DC1">
        <w:rPr>
          <w:b/>
        </w:rPr>
        <w:t>Charges</w:t>
      </w:r>
    </w:p>
    <w:p w14:paraId="157EC85B" w14:textId="77777777" w:rsidR="00A8695A" w:rsidRPr="00577DC1" w:rsidRDefault="00A8695A" w:rsidP="00A8695A">
      <w:r w:rsidRPr="00577DC1">
        <w:t xml:space="preserve">Where bank charges occur, any such expenses imposed by the </w:t>
      </w:r>
      <w:proofErr w:type="gramStart"/>
      <w:r w:rsidRPr="00577DC1">
        <w:t>debtors</w:t>
      </w:r>
      <w:proofErr w:type="gramEnd"/>
      <w:r w:rsidRPr="00577DC1">
        <w:t xml:space="preserve"> bank(s) including intermediate and correspondent banks used by the debtor to make the payment, shall be borne by the debtor</w:t>
      </w:r>
    </w:p>
    <w:p w14:paraId="3BD90CFF" w14:textId="77777777" w:rsidR="00A8695A" w:rsidRPr="00577DC1" w:rsidRDefault="00A8695A" w:rsidP="00A8695A">
      <w:r w:rsidRPr="00577DC1">
        <w:t xml:space="preserve">Expenses imposed by the creditors bank(s), including payment expenses imposed by intermediate and correspondent banks used for receipt of the payment by the creditor, shall be borne by the creditor. </w:t>
      </w:r>
    </w:p>
    <w:p w14:paraId="10D4667C" w14:textId="77777777" w:rsidR="00A8695A" w:rsidRPr="00577DC1" w:rsidRDefault="00A8695A" w:rsidP="00A8695A">
      <w:pPr>
        <w:rPr>
          <w:b/>
          <w:sz w:val="28"/>
        </w:rPr>
      </w:pPr>
      <w:r w:rsidRPr="00577DC1">
        <w:t>In the case where the debtor pays in a different currency than agreed in the applicable annex or pays to the wrong bank account, the creditor has the right to request a credit from the debtor for the extra cost.</w:t>
      </w:r>
      <w:bookmarkStart w:id="96" w:name="_Toc291667034"/>
      <w:r w:rsidRPr="00577DC1">
        <w:rPr>
          <w:b/>
          <w:sz w:val="28"/>
        </w:rPr>
        <w:br w:type="page"/>
      </w:r>
    </w:p>
    <w:p w14:paraId="3F6C6057" w14:textId="77777777" w:rsidR="00A8695A" w:rsidRPr="00577DC1" w:rsidRDefault="00A8695A" w:rsidP="00A8695A">
      <w:pPr>
        <w:keepNext/>
        <w:keepLines/>
        <w:spacing w:before="360" w:after="60" w:line="276" w:lineRule="auto"/>
        <w:jc w:val="left"/>
        <w:outlineLvl w:val="0"/>
        <w:rPr>
          <w:b/>
          <w:sz w:val="28"/>
        </w:rPr>
      </w:pPr>
      <w:r w:rsidRPr="00577DC1">
        <w:rPr>
          <w:b/>
          <w:sz w:val="28"/>
        </w:rPr>
        <w:t>ANNEX 4 TECHNICAL ASPECTS</w:t>
      </w:r>
      <w:bookmarkEnd w:id="96"/>
    </w:p>
    <w:p w14:paraId="3BB8B369" w14:textId="77777777" w:rsidR="00A8695A" w:rsidRPr="00577DC1" w:rsidRDefault="00A8695A" w:rsidP="00A8695A">
      <w:r w:rsidRPr="00577DC1">
        <w:t>Technical Aspects like, but not limited to, Testing, Authentication, Authorization, Security, Signalling Interconnection, IP Connectivity are to be agreed between the parties.</w:t>
      </w:r>
    </w:p>
    <w:p w14:paraId="37C799C3" w14:textId="77777777" w:rsidR="00A8695A" w:rsidRPr="00577DC1" w:rsidRDefault="00A8695A" w:rsidP="00A8695A">
      <w:r w:rsidRPr="00577DC1">
        <w:t>Both parties acknowledge that where appropriate the IFC Provider will need to be involved in the testing, routing of the authentication traffic, will be providing the security, interconnection and provisioning of the IP addresses.</w:t>
      </w:r>
    </w:p>
    <w:p w14:paraId="7F62A6C7" w14:textId="77777777" w:rsidR="00A8695A" w:rsidRPr="00577DC1" w:rsidRDefault="00A8695A" w:rsidP="00A8695A">
      <w:r w:rsidRPr="00577DC1">
        <w:t>Both parties acknowledge that this solution will be Local Breakout, and not Home Routed traffic, meaning that the IP addresses will be allocated on the aircraft and all connections will be subject to the same network controls that exist on the rest of the aircraft.</w:t>
      </w:r>
    </w:p>
    <w:p w14:paraId="06A51170" w14:textId="77777777" w:rsidR="00A8695A" w:rsidRPr="00577DC1" w:rsidRDefault="00A8695A" w:rsidP="00A8695A"/>
    <w:p w14:paraId="059AB3F5" w14:textId="77777777" w:rsidR="00A8695A" w:rsidRPr="00577DC1" w:rsidRDefault="00A8695A" w:rsidP="00A8695A">
      <w:r w:rsidRPr="00577DC1">
        <w:t xml:space="preserve">[Additional information to be added as required by the parties] </w:t>
      </w:r>
    </w:p>
    <w:p w14:paraId="1AF66F4F" w14:textId="77777777" w:rsidR="00A8695A" w:rsidRPr="00577DC1" w:rsidRDefault="00A8695A" w:rsidP="00A8695A">
      <w:pPr>
        <w:spacing w:before="0" w:after="160" w:line="259" w:lineRule="auto"/>
        <w:jc w:val="left"/>
      </w:pPr>
      <w:r w:rsidRPr="00577DC1">
        <w:br w:type="page"/>
      </w:r>
    </w:p>
    <w:p w14:paraId="7B18F11A" w14:textId="77777777" w:rsidR="00A8695A" w:rsidRPr="00577DC1" w:rsidRDefault="00A8695A" w:rsidP="00A8695A">
      <w:pPr>
        <w:keepNext/>
        <w:keepLines/>
        <w:spacing w:before="360" w:after="60" w:line="276" w:lineRule="auto"/>
        <w:jc w:val="left"/>
        <w:outlineLvl w:val="0"/>
        <w:rPr>
          <w:b/>
          <w:sz w:val="28"/>
        </w:rPr>
      </w:pPr>
      <w:bookmarkStart w:id="97" w:name="_Toc482535351"/>
      <w:bookmarkStart w:id="98" w:name="_Toc47852399"/>
      <w:bookmarkStart w:id="99" w:name="_Toc180994724"/>
      <w:bookmarkStart w:id="100" w:name="_Toc291667039"/>
      <w:r w:rsidRPr="00577DC1">
        <w:rPr>
          <w:b/>
          <w:sz w:val="28"/>
        </w:rPr>
        <w:t>ANNEX 5 FRAUD PREVENTION PROCEDURES</w:t>
      </w:r>
      <w:bookmarkEnd w:id="97"/>
      <w:bookmarkEnd w:id="98"/>
      <w:bookmarkEnd w:id="99"/>
      <w:bookmarkEnd w:id="100"/>
    </w:p>
    <w:p w14:paraId="06E6769F" w14:textId="77777777" w:rsidR="00A8695A" w:rsidRPr="00577DC1" w:rsidRDefault="00A8695A" w:rsidP="00A8695A">
      <w:r w:rsidRPr="00577DC1">
        <w:t>[To be completed by the Parties as needed]</w:t>
      </w:r>
    </w:p>
    <w:p w14:paraId="5261751F" w14:textId="77777777" w:rsidR="00A8695A" w:rsidRPr="00577DC1" w:rsidRDefault="00A8695A" w:rsidP="00A8695A">
      <w:pPr>
        <w:spacing w:before="0"/>
        <w:rPr>
          <w:b/>
          <w:sz w:val="28"/>
        </w:rPr>
      </w:pPr>
      <w:r w:rsidRPr="00577DC1">
        <w:br w:type="page"/>
      </w:r>
    </w:p>
    <w:p w14:paraId="7FD70B69" w14:textId="77777777" w:rsidR="00A8695A" w:rsidRPr="00577DC1" w:rsidRDefault="00A8695A" w:rsidP="00A8695A">
      <w:pPr>
        <w:keepNext/>
        <w:keepLines/>
        <w:spacing w:before="360" w:after="60" w:line="276" w:lineRule="auto"/>
        <w:jc w:val="left"/>
        <w:outlineLvl w:val="0"/>
        <w:rPr>
          <w:b/>
        </w:rPr>
      </w:pPr>
      <w:bookmarkStart w:id="101" w:name="_Toc291667044"/>
      <w:r w:rsidRPr="00577DC1">
        <w:rPr>
          <w:b/>
          <w:sz w:val="28"/>
        </w:rPr>
        <w:t xml:space="preserve">ANNEX 6 </w:t>
      </w:r>
      <w:bookmarkEnd w:id="101"/>
      <w:r>
        <w:rPr>
          <w:b/>
          <w:sz w:val="28"/>
        </w:rPr>
        <w:t>SERVICE LEVEL AGREEMENT</w:t>
      </w:r>
    </w:p>
    <w:p w14:paraId="77DDC396" w14:textId="77777777" w:rsidR="00A8695A" w:rsidRPr="00577DC1" w:rsidRDefault="00A8695A" w:rsidP="00A8695A">
      <w:pPr>
        <w:pStyle w:val="NormalParagraph"/>
        <w:rPr>
          <w:b/>
          <w:bCs/>
        </w:rPr>
      </w:pPr>
      <w:r w:rsidRPr="00577DC1">
        <w:rPr>
          <w:b/>
          <w:bCs/>
        </w:rPr>
        <w:t>Service Level Agreements (SLA) and Quality of Service</w:t>
      </w:r>
    </w:p>
    <w:p w14:paraId="11A548DB" w14:textId="77777777" w:rsidR="00A8695A" w:rsidRPr="00577DC1" w:rsidRDefault="00A8695A" w:rsidP="00A8695A">
      <w:r w:rsidRPr="00577DC1">
        <w:t>[To be completed by the Parties as needed]</w:t>
      </w:r>
    </w:p>
    <w:p w14:paraId="0CE8BAAD" w14:textId="77777777" w:rsidR="00A8695A" w:rsidRPr="00BD0BA9" w:rsidRDefault="00A8695A" w:rsidP="00A8695A">
      <w:pPr>
        <w:keepNext/>
        <w:keepLines/>
        <w:spacing w:before="360" w:after="60" w:line="276" w:lineRule="auto"/>
        <w:jc w:val="left"/>
        <w:outlineLvl w:val="0"/>
        <w:rPr>
          <w:b/>
          <w:sz w:val="28"/>
        </w:rPr>
      </w:pPr>
      <w:r w:rsidRPr="00577DC1">
        <w:rPr>
          <w:b/>
          <w:sz w:val="28"/>
        </w:rPr>
        <w:br w:type="page"/>
        <w:t>ANNEX 7 Contact Details for Parties, Tariffs, Aircraft/Flights included in offer, Data Privacy Requirements and other Information</w:t>
      </w:r>
    </w:p>
    <w:bookmarkEnd w:id="6"/>
    <w:bookmarkEnd w:id="7"/>
    <w:bookmarkEnd w:id="8"/>
    <w:bookmarkEnd w:id="9"/>
    <w:bookmarkEnd w:id="12"/>
    <w:p w14:paraId="574E2C67" w14:textId="77777777" w:rsidR="00A8695A" w:rsidRDefault="00A8695A" w:rsidP="00A8695A">
      <w:pPr>
        <w:rPr>
          <w:iCs/>
        </w:rPr>
      </w:pPr>
    </w:p>
    <w:p w14:paraId="66DC00D8" w14:textId="77777777" w:rsidR="00A8695A" w:rsidRDefault="00A8695A">
      <w:pPr>
        <w:spacing w:before="0"/>
        <w:jc w:val="left"/>
        <w:rPr>
          <w:b/>
          <w:sz w:val="28"/>
        </w:rPr>
      </w:pPr>
      <w:r>
        <w:br w:type="page"/>
      </w:r>
    </w:p>
    <w:p w14:paraId="45BD18AD" w14:textId="7B14C524" w:rsidR="00944378" w:rsidRPr="00A8695A" w:rsidRDefault="00944378" w:rsidP="00554E35">
      <w:pPr>
        <w:pStyle w:val="Annex"/>
        <w:rPr>
          <w:vanish/>
          <w:specVanish/>
        </w:rPr>
      </w:pPr>
      <w:r w:rsidRPr="00A12C98">
        <w:t>Document Management</w:t>
      </w:r>
      <w:bookmarkEnd w:id="1"/>
      <w:bookmarkEnd w:id="2"/>
      <w:bookmarkEnd w:id="3"/>
      <w:bookmarkEnd w:id="4"/>
      <w:bookmarkEnd w:id="5"/>
    </w:p>
    <w:p w14:paraId="02688DAD" w14:textId="2E39D107" w:rsidR="00944378" w:rsidRDefault="00A8695A" w:rsidP="008E04CC">
      <w:pPr>
        <w:pStyle w:val="ANNEX-heading1"/>
      </w:pPr>
      <w:bookmarkStart w:id="102" w:name="_Toc327548014"/>
      <w:bookmarkStart w:id="103" w:name="_Toc327548214"/>
      <w:bookmarkStart w:id="104" w:name="_Toc130896594"/>
      <w:r>
        <w:t xml:space="preserve"> </w:t>
      </w:r>
      <w:r w:rsidR="00944378" w:rsidRPr="00876BEE">
        <w:t>Document History</w:t>
      </w:r>
      <w:bookmarkEnd w:id="102"/>
      <w:bookmarkEnd w:id="103"/>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5"/>
        <w:gridCol w:w="3233"/>
        <w:gridCol w:w="1903"/>
        <w:gridCol w:w="1593"/>
      </w:tblGrid>
      <w:tr w:rsidR="00944378" w:rsidRPr="00A14F29" w14:paraId="0469DB29" w14:textId="77777777" w:rsidTr="003F5955">
        <w:tc>
          <w:tcPr>
            <w:tcW w:w="1072" w:type="dxa"/>
            <w:shd w:val="clear" w:color="auto" w:fill="C00000"/>
          </w:tcPr>
          <w:p w14:paraId="000FDDC0" w14:textId="77777777" w:rsidR="00944378" w:rsidRPr="00C25E2B" w:rsidRDefault="00944378" w:rsidP="00C25E2B">
            <w:pPr>
              <w:pStyle w:val="TableHeader"/>
            </w:pPr>
            <w:r w:rsidRPr="00C25E2B">
              <w:t>Version</w:t>
            </w:r>
          </w:p>
        </w:tc>
        <w:tc>
          <w:tcPr>
            <w:tcW w:w="1215" w:type="dxa"/>
            <w:shd w:val="clear" w:color="auto" w:fill="C00000"/>
          </w:tcPr>
          <w:p w14:paraId="7BBAAF31" w14:textId="77777777" w:rsidR="00944378" w:rsidRPr="00C25E2B" w:rsidRDefault="00944378" w:rsidP="00C25E2B">
            <w:pPr>
              <w:pStyle w:val="TableHeader"/>
            </w:pPr>
            <w:r w:rsidRPr="00C25E2B">
              <w:t>Date</w:t>
            </w:r>
          </w:p>
        </w:tc>
        <w:tc>
          <w:tcPr>
            <w:tcW w:w="3233" w:type="dxa"/>
            <w:shd w:val="clear" w:color="auto" w:fill="C00000"/>
          </w:tcPr>
          <w:p w14:paraId="43DFF497" w14:textId="77777777" w:rsidR="00944378" w:rsidRPr="00C25E2B" w:rsidRDefault="00944378" w:rsidP="00C25E2B">
            <w:pPr>
              <w:pStyle w:val="TableHeader"/>
            </w:pPr>
            <w:r w:rsidRPr="00C25E2B">
              <w:t>Brief Description of Change</w:t>
            </w:r>
          </w:p>
        </w:tc>
        <w:tc>
          <w:tcPr>
            <w:tcW w:w="1903" w:type="dxa"/>
            <w:shd w:val="clear" w:color="auto" w:fill="C00000"/>
          </w:tcPr>
          <w:p w14:paraId="01B70F43" w14:textId="77777777" w:rsidR="00944378" w:rsidRPr="00C25E2B" w:rsidRDefault="00944378" w:rsidP="00C25E2B">
            <w:pPr>
              <w:pStyle w:val="TableHeader"/>
            </w:pPr>
            <w:r w:rsidRPr="00C25E2B">
              <w:t>Approval Authority</w:t>
            </w:r>
          </w:p>
        </w:tc>
        <w:tc>
          <w:tcPr>
            <w:tcW w:w="1593" w:type="dxa"/>
            <w:shd w:val="clear" w:color="auto" w:fill="C00000"/>
          </w:tcPr>
          <w:p w14:paraId="66D13EFA" w14:textId="77777777" w:rsidR="00944378" w:rsidRPr="00C25E2B" w:rsidRDefault="00944378" w:rsidP="00C25E2B">
            <w:pPr>
              <w:pStyle w:val="TableHeader"/>
            </w:pPr>
            <w:r w:rsidRPr="00C25E2B">
              <w:t>Editor / Company</w:t>
            </w:r>
          </w:p>
        </w:tc>
      </w:tr>
      <w:tr w:rsidR="003D6D8E" w:rsidRPr="00A14F29" w14:paraId="75E45408" w14:textId="77777777" w:rsidTr="003F5955">
        <w:tc>
          <w:tcPr>
            <w:tcW w:w="1072" w:type="dxa"/>
          </w:tcPr>
          <w:p w14:paraId="6C09724F" w14:textId="77777777" w:rsidR="003D6D8E" w:rsidRPr="00C6177A" w:rsidRDefault="003D6D8E" w:rsidP="00F14715">
            <w:pPr>
              <w:pStyle w:val="TableText"/>
            </w:pPr>
            <w:r w:rsidRPr="00C46FCE">
              <w:t>1.0</w:t>
            </w:r>
          </w:p>
        </w:tc>
        <w:tc>
          <w:tcPr>
            <w:tcW w:w="1215" w:type="dxa"/>
          </w:tcPr>
          <w:p w14:paraId="4173264D" w14:textId="7C2A1FF0" w:rsidR="003D6D8E" w:rsidRPr="00C6177A" w:rsidRDefault="003F5955" w:rsidP="00F14715">
            <w:pPr>
              <w:pStyle w:val="TableText"/>
            </w:pPr>
            <w:r>
              <w:t>22 May 2025</w:t>
            </w:r>
          </w:p>
        </w:tc>
        <w:tc>
          <w:tcPr>
            <w:tcW w:w="3233" w:type="dxa"/>
          </w:tcPr>
          <w:p w14:paraId="79913D7F" w14:textId="56572BC9" w:rsidR="003D6D8E" w:rsidRPr="00C6177A" w:rsidRDefault="003D6D8E" w:rsidP="00F14715">
            <w:pPr>
              <w:pStyle w:val="TableText"/>
            </w:pPr>
            <w:r w:rsidRPr="00C46FCE">
              <w:t xml:space="preserve">New PRD </w:t>
            </w:r>
            <w:r w:rsidR="003F5955">
              <w:t>AA.105</w:t>
            </w:r>
          </w:p>
        </w:tc>
        <w:tc>
          <w:tcPr>
            <w:tcW w:w="1903" w:type="dxa"/>
          </w:tcPr>
          <w:p w14:paraId="53F1360F" w14:textId="0A5CF1D5" w:rsidR="003D6D8E" w:rsidRPr="00C6177A" w:rsidRDefault="003F5955" w:rsidP="00F14715">
            <w:pPr>
              <w:pStyle w:val="TableText"/>
            </w:pPr>
            <w:r>
              <w:t>WAS &amp; TG</w:t>
            </w:r>
          </w:p>
        </w:tc>
        <w:tc>
          <w:tcPr>
            <w:tcW w:w="1593" w:type="dxa"/>
            <w:vAlign w:val="center"/>
          </w:tcPr>
          <w:p w14:paraId="67B3C047" w14:textId="09FBDB63" w:rsidR="003D6D8E" w:rsidRPr="00C6177A" w:rsidRDefault="003F5955" w:rsidP="00F14715">
            <w:pPr>
              <w:pStyle w:val="TableText"/>
            </w:pPr>
            <w:r>
              <w:t>Mark Nash, Panasonic</w:t>
            </w:r>
          </w:p>
        </w:tc>
      </w:tr>
    </w:tbl>
    <w:p w14:paraId="47E16E27" w14:textId="77777777" w:rsidR="00944378" w:rsidRDefault="00944378" w:rsidP="008E04CC">
      <w:pPr>
        <w:pStyle w:val="ANNEX-heading1"/>
      </w:pPr>
      <w:bookmarkStart w:id="105" w:name="_Toc327548015"/>
      <w:bookmarkStart w:id="106" w:name="_Toc327548215"/>
      <w:bookmarkStart w:id="107" w:name="_Toc130896595"/>
      <w:r>
        <w:t>Other Information</w:t>
      </w:r>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44378" w:rsidRPr="00A14F29" w14:paraId="16EAC8DB" w14:textId="77777777" w:rsidTr="00A66939">
        <w:tc>
          <w:tcPr>
            <w:tcW w:w="3188" w:type="dxa"/>
            <w:shd w:val="clear" w:color="auto" w:fill="C00000"/>
          </w:tcPr>
          <w:p w14:paraId="2E4BAFF3" w14:textId="77777777" w:rsidR="00944378" w:rsidRPr="00A14F29" w:rsidRDefault="00944378" w:rsidP="00C25E2B">
            <w:pPr>
              <w:pStyle w:val="TableHeader"/>
            </w:pPr>
            <w:r w:rsidRPr="00A14F29">
              <w:t>Type</w:t>
            </w:r>
          </w:p>
        </w:tc>
        <w:tc>
          <w:tcPr>
            <w:tcW w:w="5996" w:type="dxa"/>
            <w:shd w:val="clear" w:color="auto" w:fill="C00000"/>
          </w:tcPr>
          <w:p w14:paraId="28A9D8B1" w14:textId="77777777" w:rsidR="00944378" w:rsidRPr="00A14F29" w:rsidRDefault="00944378" w:rsidP="00C25E2B">
            <w:pPr>
              <w:pStyle w:val="TableHeader"/>
            </w:pPr>
            <w:r w:rsidRPr="00A14F29">
              <w:t>Description</w:t>
            </w:r>
          </w:p>
        </w:tc>
      </w:tr>
      <w:tr w:rsidR="003D6D8E" w:rsidRPr="00A14F29" w14:paraId="767BAAF0" w14:textId="77777777" w:rsidTr="009714A6">
        <w:tc>
          <w:tcPr>
            <w:tcW w:w="3188" w:type="dxa"/>
          </w:tcPr>
          <w:p w14:paraId="48284922" w14:textId="77777777" w:rsidR="003D6D8E" w:rsidRPr="00C6177A" w:rsidRDefault="003D6D8E" w:rsidP="003D6D8E">
            <w:pPr>
              <w:pStyle w:val="TableText"/>
            </w:pPr>
            <w:r w:rsidRPr="00C46FCE">
              <w:t>Document Owner</w:t>
            </w:r>
          </w:p>
        </w:tc>
        <w:tc>
          <w:tcPr>
            <w:tcW w:w="5996" w:type="dxa"/>
          </w:tcPr>
          <w:p w14:paraId="4C8A7372" w14:textId="0FB25ABD" w:rsidR="003D6D8E" w:rsidRPr="00C6177A" w:rsidRDefault="003F5955" w:rsidP="003D6D8E">
            <w:pPr>
              <w:pStyle w:val="TableText"/>
            </w:pPr>
            <w:r>
              <w:t>WAS - WAGREE</w:t>
            </w:r>
          </w:p>
        </w:tc>
      </w:tr>
      <w:tr w:rsidR="003D6D8E" w:rsidRPr="00A14F29" w14:paraId="1E8D2420" w14:textId="77777777" w:rsidTr="009714A6">
        <w:tc>
          <w:tcPr>
            <w:tcW w:w="3188" w:type="dxa"/>
          </w:tcPr>
          <w:p w14:paraId="0159A0D1" w14:textId="77777777" w:rsidR="003D6D8E" w:rsidRPr="00C6177A" w:rsidRDefault="003D6D8E" w:rsidP="003D6D8E">
            <w:pPr>
              <w:pStyle w:val="TableText"/>
            </w:pPr>
            <w:r w:rsidRPr="00C46FCE">
              <w:t>Editor / Company</w:t>
            </w:r>
          </w:p>
        </w:tc>
        <w:tc>
          <w:tcPr>
            <w:tcW w:w="5996" w:type="dxa"/>
          </w:tcPr>
          <w:p w14:paraId="667B2D7E" w14:textId="399BB757" w:rsidR="003D6D8E" w:rsidRPr="00C6177A" w:rsidRDefault="003F5955" w:rsidP="003D6D8E">
            <w:pPr>
              <w:pStyle w:val="TableText"/>
            </w:pPr>
            <w:r>
              <w:t>Mark Nash, Panasonic</w:t>
            </w:r>
          </w:p>
        </w:tc>
      </w:tr>
    </w:tbl>
    <w:p w14:paraId="27AFAD67" w14:textId="77777777" w:rsidR="00141190" w:rsidRDefault="00141190" w:rsidP="00141190">
      <w:pPr>
        <w:pStyle w:val="NormalParagraph"/>
      </w:pPr>
    </w:p>
    <w:p w14:paraId="199C10BA" w14:textId="77777777" w:rsidR="00944378" w:rsidRDefault="00944378" w:rsidP="00141190">
      <w:pPr>
        <w:pStyle w:val="NormalParagraph"/>
      </w:pPr>
      <w:r>
        <w:t xml:space="preserve">It is our intention to provide a quality product for your use. If you find any errors or omissions, please contact us with your comments. You may notify us at </w:t>
      </w:r>
      <w:hyperlink r:id="rId15" w:history="1">
        <w:r w:rsidR="000623D3" w:rsidRPr="00C73990">
          <w:rPr>
            <w:rStyle w:val="Hyperlink"/>
          </w:rPr>
          <w:t>prd@gsma.com</w:t>
        </w:r>
      </w:hyperlink>
    </w:p>
    <w:p w14:paraId="133A6DEA" w14:textId="77777777" w:rsidR="00944378" w:rsidRDefault="00944378" w:rsidP="00141190">
      <w:pPr>
        <w:pStyle w:val="NormalParagraph"/>
      </w:pPr>
      <w:r>
        <w:t>Your comments or suggestions &amp; questions are always welcome.</w:t>
      </w:r>
    </w:p>
    <w:sectPr w:rsidR="00944378" w:rsidSect="00373FBC">
      <w:headerReference w:type="even" r:id="rId16"/>
      <w:headerReference w:type="default" r:id="rId17"/>
      <w:footerReference w:type="default" r:id="rId18"/>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263C" w14:textId="77777777" w:rsidR="0017787E" w:rsidRDefault="0017787E">
      <w:pPr>
        <w:spacing w:before="0"/>
      </w:pPr>
      <w:r>
        <w:separator/>
      </w:r>
    </w:p>
    <w:p w14:paraId="1B15C316" w14:textId="77777777" w:rsidR="0017787E" w:rsidRDefault="0017787E"/>
  </w:endnote>
  <w:endnote w:type="continuationSeparator" w:id="0">
    <w:p w14:paraId="22D27FE3" w14:textId="77777777" w:rsidR="0017787E" w:rsidRDefault="0017787E">
      <w:pPr>
        <w:spacing w:before="0"/>
      </w:pPr>
      <w:r>
        <w:continuationSeparator/>
      </w:r>
    </w:p>
    <w:p w14:paraId="0080EF7A" w14:textId="77777777" w:rsidR="0017787E" w:rsidRDefault="00177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C975" w14:textId="33CDF702" w:rsidR="009F0192" w:rsidRDefault="009F0192" w:rsidP="00A95E1E">
    <w:pPr>
      <w:pStyle w:val="Footer"/>
      <w:rPr>
        <w:i/>
      </w:rPr>
    </w:pPr>
    <w:r>
      <w:t>V</w:t>
    </w:r>
    <w:r w:rsidR="003F5955">
      <w:t>1.0</w:t>
    </w:r>
    <w:r>
      <w:tab/>
    </w:r>
    <w:r>
      <w:tab/>
      <w:t xml:space="preserve">Page </w:t>
    </w:r>
    <w:r>
      <w:fldChar w:fldCharType="begin"/>
    </w:r>
    <w:r>
      <w:instrText xml:space="preserve"> PAGE </w:instrText>
    </w:r>
    <w:r>
      <w:fldChar w:fldCharType="separate"/>
    </w:r>
    <w:r w:rsidR="00EE1796">
      <w:rPr>
        <w:noProof/>
      </w:rPr>
      <w:t>7</w:t>
    </w:r>
    <w:r>
      <w:fldChar w:fldCharType="end"/>
    </w:r>
    <w:r>
      <w:t xml:space="preserve"> of </w:t>
    </w:r>
    <w:r w:rsidR="00BD635C">
      <w:fldChar w:fldCharType="begin"/>
    </w:r>
    <w:r w:rsidR="00BD635C">
      <w:instrText xml:space="preserve"> NUMPAGES  </w:instrText>
    </w:r>
    <w:r w:rsidR="00BD635C">
      <w:fldChar w:fldCharType="separate"/>
    </w:r>
    <w:r w:rsidR="00EE1796">
      <w:rPr>
        <w:noProof/>
      </w:rPr>
      <w:t>10</w:t>
    </w:r>
    <w:r w:rsidR="00BD635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E0D7" w14:textId="726F81FF" w:rsidR="009F0192" w:rsidRDefault="009F0192" w:rsidP="00A95E1E">
    <w:pPr>
      <w:pStyle w:val="Footer"/>
      <w:rPr>
        <w:i/>
      </w:rPr>
    </w:pPr>
    <w:r>
      <w:t>V</w:t>
    </w:r>
    <w:r w:rsidR="003F5955">
      <w:t>1.0</w:t>
    </w:r>
    <w:r>
      <w:tab/>
      <w:t xml:space="preserve">Page </w:t>
    </w:r>
    <w:r>
      <w:fldChar w:fldCharType="begin"/>
    </w:r>
    <w:r>
      <w:instrText xml:space="preserve"> PAGE </w:instrText>
    </w:r>
    <w:r>
      <w:fldChar w:fldCharType="separate"/>
    </w:r>
    <w:r w:rsidR="00EE1796">
      <w:rPr>
        <w:noProof/>
      </w:rPr>
      <w:t>10</w:t>
    </w:r>
    <w:r>
      <w:fldChar w:fldCharType="end"/>
    </w:r>
    <w:r>
      <w:t xml:space="preserve"> of </w:t>
    </w:r>
    <w:r w:rsidR="00BD635C">
      <w:fldChar w:fldCharType="begin"/>
    </w:r>
    <w:r w:rsidR="00BD635C">
      <w:instrText xml:space="preserve"> NUMPAGES  </w:instrText>
    </w:r>
    <w:r w:rsidR="00BD635C">
      <w:fldChar w:fldCharType="separate"/>
    </w:r>
    <w:r w:rsidR="00EE1796">
      <w:rPr>
        <w:noProof/>
      </w:rPr>
      <w:t>10</w:t>
    </w:r>
    <w:r w:rsidR="00BD63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1E0A" w14:textId="77777777" w:rsidR="0017787E" w:rsidRDefault="0017787E" w:rsidP="009527C9">
      <w:pPr>
        <w:spacing w:before="0"/>
      </w:pPr>
      <w:r>
        <w:separator/>
      </w:r>
    </w:p>
  </w:footnote>
  <w:footnote w:type="continuationSeparator" w:id="0">
    <w:p w14:paraId="22AE37FF" w14:textId="77777777" w:rsidR="0017787E" w:rsidRDefault="0017787E" w:rsidP="009527C9">
      <w:pPr>
        <w:spacing w:before="0"/>
      </w:pPr>
      <w:r>
        <w:continuationSeparator/>
      </w:r>
    </w:p>
  </w:footnote>
  <w:footnote w:type="continuationNotice" w:id="1">
    <w:p w14:paraId="71BB2CA6" w14:textId="77777777" w:rsidR="0017787E" w:rsidRDefault="0017787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FE6A" w14:textId="77777777" w:rsidR="00A71E77" w:rsidRDefault="009F0192" w:rsidP="00A71E77">
    <w:pPr>
      <w:pStyle w:val="Header"/>
    </w:pPr>
    <w:r w:rsidRPr="005840AA">
      <w:t>GSM</w:t>
    </w:r>
    <w:r w:rsidR="0019256D">
      <w:t>A</w:t>
    </w:r>
    <w:r>
      <w:t xml:space="preserve"> </w:t>
    </w:r>
    <w:r w:rsidRPr="005840AA">
      <w:t xml:space="preserve"> </w:t>
    </w:r>
    <w:r w:rsidRPr="005840AA">
      <w:tab/>
    </w:r>
    <w:r>
      <w:tab/>
    </w:r>
  </w:p>
  <w:p w14:paraId="39F903EC" w14:textId="5CFE4D7A" w:rsidR="009F0192" w:rsidRPr="005840AA" w:rsidRDefault="009F0192" w:rsidP="00A95E1E">
    <w:pPr>
      <w:pStyle w:val="Header"/>
    </w:pPr>
    <w:r w:rsidRPr="005840AA">
      <w:t xml:space="preserve">Official Document </w:t>
    </w:r>
    <w:r w:rsidR="003F5955">
      <w:t>AA.105</w:t>
    </w:r>
    <w:r w:rsidR="00A71E77">
      <w:t xml:space="preserve"> </w:t>
    </w:r>
    <w:r w:rsidR="003F5955">
      <w:t>–</w:t>
    </w:r>
    <w:r w:rsidR="00A71E77">
      <w:t xml:space="preserve"> </w:t>
    </w:r>
    <w:r w:rsidR="003F5955">
      <w:t>Wi-Fi Inflight Agreement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B31A" w14:textId="77777777" w:rsidR="009F0192" w:rsidRDefault="009F0192" w:rsidP="00427F8A">
    <w:pPr>
      <w:pStyle w:val="NormalParagraph"/>
    </w:pPr>
  </w:p>
  <w:p w14:paraId="087DFA70"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E4F7" w14:textId="77777777" w:rsidR="00A71E77" w:rsidRDefault="009F0192" w:rsidP="00A71E77">
    <w:pPr>
      <w:pStyle w:val="Header"/>
    </w:pPr>
    <w:r>
      <w:t>GSMA</w:t>
    </w:r>
    <w:r>
      <w:tab/>
    </w:r>
  </w:p>
  <w:p w14:paraId="03769A0C" w14:textId="1AE5E0DD" w:rsidR="009F0192" w:rsidRDefault="009F0192" w:rsidP="00A95E1E">
    <w:pPr>
      <w:pStyle w:val="Header"/>
    </w:pPr>
    <w:r w:rsidRPr="00F04B04">
      <w:t>Of</w:t>
    </w:r>
    <w:r>
      <w:t xml:space="preserve">ficial Document </w:t>
    </w:r>
    <w:r w:rsidR="003F5955">
      <w:t>AA.105</w:t>
    </w:r>
    <w:r w:rsidR="00A71E77">
      <w:t xml:space="preserve"> </w:t>
    </w:r>
    <w:r w:rsidR="003F5955">
      <w:t>–</w:t>
    </w:r>
    <w:r w:rsidR="00A71E77">
      <w:t xml:space="preserve"> </w:t>
    </w:r>
    <w:r w:rsidR="003F5955">
      <w:t>Wi-Fi Inflight Agreement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4878"/>
    <w:multiLevelType w:val="multilevel"/>
    <w:tmpl w:val="7B2CD562"/>
    <w:numStyleLink w:val="ListNumbers"/>
  </w:abstractNum>
  <w:abstractNum w:abstractNumId="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1C265B"/>
    <w:multiLevelType w:val="multilevel"/>
    <w:tmpl w:val="95627446"/>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712603">
    <w:abstractNumId w:val="5"/>
  </w:num>
  <w:num w:numId="2" w16cid:durableId="1369991966">
    <w:abstractNumId w:val="14"/>
  </w:num>
  <w:num w:numId="3" w16cid:durableId="659623315">
    <w:abstractNumId w:val="3"/>
  </w:num>
  <w:num w:numId="4" w16cid:durableId="1806124541">
    <w:abstractNumId w:val="1"/>
  </w:num>
  <w:num w:numId="5" w16cid:durableId="1434786225">
    <w:abstractNumId w:val="6"/>
  </w:num>
  <w:num w:numId="6" w16cid:durableId="901451172">
    <w:abstractNumId w:val="0"/>
  </w:num>
  <w:num w:numId="7" w16cid:durableId="1448084583">
    <w:abstractNumId w:val="7"/>
  </w:num>
  <w:num w:numId="8" w16cid:durableId="1359549966">
    <w:abstractNumId w:val="12"/>
  </w:num>
  <w:num w:numId="9" w16cid:durableId="1241062878">
    <w:abstractNumId w:val="10"/>
  </w:num>
  <w:num w:numId="10" w16cid:durableId="580602390">
    <w:abstractNumId w:val="4"/>
  </w:num>
  <w:num w:numId="11" w16cid:durableId="1951815879">
    <w:abstractNumId w:val="2"/>
  </w:num>
  <w:num w:numId="12" w16cid:durableId="1806194410">
    <w:abstractNumId w:val="8"/>
  </w:num>
  <w:num w:numId="13" w16cid:durableId="944460427">
    <w:abstractNumId w:val="13"/>
  </w:num>
  <w:num w:numId="14" w16cid:durableId="1058013394">
    <w:abstractNumId w:val="11"/>
  </w:num>
  <w:num w:numId="15" w16cid:durableId="1349261176">
    <w:abstractNumId w:val="9"/>
  </w:num>
  <w:num w:numId="16" w16cid:durableId="749619644">
    <w:abstractNumId w:val="9"/>
  </w:num>
  <w:num w:numId="17" w16cid:durableId="151146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18"/>
    <w:rsid w:val="00002803"/>
    <w:rsid w:val="0001024B"/>
    <w:rsid w:val="00041759"/>
    <w:rsid w:val="00046D01"/>
    <w:rsid w:val="00052FE2"/>
    <w:rsid w:val="000623D3"/>
    <w:rsid w:val="000713B1"/>
    <w:rsid w:val="000774DD"/>
    <w:rsid w:val="00091F49"/>
    <w:rsid w:val="000A0FB0"/>
    <w:rsid w:val="000B02F8"/>
    <w:rsid w:val="000B6881"/>
    <w:rsid w:val="000D20CB"/>
    <w:rsid w:val="000D23EB"/>
    <w:rsid w:val="000E2366"/>
    <w:rsid w:val="000E6BB7"/>
    <w:rsid w:val="000F6A30"/>
    <w:rsid w:val="000F6B8B"/>
    <w:rsid w:val="0010050B"/>
    <w:rsid w:val="001010C7"/>
    <w:rsid w:val="00131BC4"/>
    <w:rsid w:val="00141190"/>
    <w:rsid w:val="001455A2"/>
    <w:rsid w:val="00147378"/>
    <w:rsid w:val="00165872"/>
    <w:rsid w:val="0017332D"/>
    <w:rsid w:val="00176186"/>
    <w:rsid w:val="0017787E"/>
    <w:rsid w:val="0018002B"/>
    <w:rsid w:val="0019256D"/>
    <w:rsid w:val="001B185C"/>
    <w:rsid w:val="001D70B3"/>
    <w:rsid w:val="001F08AC"/>
    <w:rsid w:val="001F2A62"/>
    <w:rsid w:val="001F2D3A"/>
    <w:rsid w:val="00202265"/>
    <w:rsid w:val="00207D34"/>
    <w:rsid w:val="002111D3"/>
    <w:rsid w:val="002200A1"/>
    <w:rsid w:val="0022220E"/>
    <w:rsid w:val="0023227F"/>
    <w:rsid w:val="00243CE1"/>
    <w:rsid w:val="00254E4D"/>
    <w:rsid w:val="00256F18"/>
    <w:rsid w:val="002766F0"/>
    <w:rsid w:val="00283857"/>
    <w:rsid w:val="002859F6"/>
    <w:rsid w:val="002873C5"/>
    <w:rsid w:val="00291E52"/>
    <w:rsid w:val="00294E91"/>
    <w:rsid w:val="00294F1F"/>
    <w:rsid w:val="002A7CAD"/>
    <w:rsid w:val="002A7CE1"/>
    <w:rsid w:val="002E3EBA"/>
    <w:rsid w:val="00331905"/>
    <w:rsid w:val="00331EE6"/>
    <w:rsid w:val="003549D3"/>
    <w:rsid w:val="00360ED9"/>
    <w:rsid w:val="00361471"/>
    <w:rsid w:val="00373FBC"/>
    <w:rsid w:val="00376BF3"/>
    <w:rsid w:val="00383ADA"/>
    <w:rsid w:val="00390290"/>
    <w:rsid w:val="00397B86"/>
    <w:rsid w:val="003A0DA5"/>
    <w:rsid w:val="003A3B36"/>
    <w:rsid w:val="003A7D25"/>
    <w:rsid w:val="003D0069"/>
    <w:rsid w:val="003D0CD1"/>
    <w:rsid w:val="003D4034"/>
    <w:rsid w:val="003D6D8E"/>
    <w:rsid w:val="003F4CB2"/>
    <w:rsid w:val="003F4D31"/>
    <w:rsid w:val="003F5955"/>
    <w:rsid w:val="00406873"/>
    <w:rsid w:val="00417276"/>
    <w:rsid w:val="00427F8A"/>
    <w:rsid w:val="00435D1E"/>
    <w:rsid w:val="0044325C"/>
    <w:rsid w:val="00446532"/>
    <w:rsid w:val="00454DDF"/>
    <w:rsid w:val="00464B7F"/>
    <w:rsid w:val="00476E46"/>
    <w:rsid w:val="00481653"/>
    <w:rsid w:val="00493557"/>
    <w:rsid w:val="004A7678"/>
    <w:rsid w:val="004B1958"/>
    <w:rsid w:val="004B22A1"/>
    <w:rsid w:val="004B7801"/>
    <w:rsid w:val="004C114A"/>
    <w:rsid w:val="004F4891"/>
    <w:rsid w:val="00504394"/>
    <w:rsid w:val="00511DAC"/>
    <w:rsid w:val="00513384"/>
    <w:rsid w:val="00515A23"/>
    <w:rsid w:val="00524D4A"/>
    <w:rsid w:val="00525783"/>
    <w:rsid w:val="00526CAA"/>
    <w:rsid w:val="00537749"/>
    <w:rsid w:val="00542D36"/>
    <w:rsid w:val="00551AB7"/>
    <w:rsid w:val="00553839"/>
    <w:rsid w:val="00554E35"/>
    <w:rsid w:val="00564081"/>
    <w:rsid w:val="005840AA"/>
    <w:rsid w:val="00584B29"/>
    <w:rsid w:val="00585714"/>
    <w:rsid w:val="005932FF"/>
    <w:rsid w:val="005942AF"/>
    <w:rsid w:val="0059773C"/>
    <w:rsid w:val="005A1013"/>
    <w:rsid w:val="005A675F"/>
    <w:rsid w:val="005B0278"/>
    <w:rsid w:val="00606293"/>
    <w:rsid w:val="00640911"/>
    <w:rsid w:val="00642A24"/>
    <w:rsid w:val="00642D43"/>
    <w:rsid w:val="0065066F"/>
    <w:rsid w:val="006618AE"/>
    <w:rsid w:val="00666EEC"/>
    <w:rsid w:val="00696CB2"/>
    <w:rsid w:val="006A01A9"/>
    <w:rsid w:val="006A3A08"/>
    <w:rsid w:val="006C3E00"/>
    <w:rsid w:val="006D67B8"/>
    <w:rsid w:val="006E00A2"/>
    <w:rsid w:val="006E03E2"/>
    <w:rsid w:val="006E46F5"/>
    <w:rsid w:val="006E5FA5"/>
    <w:rsid w:val="007261E1"/>
    <w:rsid w:val="00726CF1"/>
    <w:rsid w:val="0075588E"/>
    <w:rsid w:val="00781D8B"/>
    <w:rsid w:val="00797566"/>
    <w:rsid w:val="007A4853"/>
    <w:rsid w:val="007B31FE"/>
    <w:rsid w:val="007E1BAD"/>
    <w:rsid w:val="007E6CF1"/>
    <w:rsid w:val="00811EAB"/>
    <w:rsid w:val="00817A76"/>
    <w:rsid w:val="00824D1D"/>
    <w:rsid w:val="00831655"/>
    <w:rsid w:val="008418DE"/>
    <w:rsid w:val="008519C7"/>
    <w:rsid w:val="00854B5B"/>
    <w:rsid w:val="00871A1B"/>
    <w:rsid w:val="00873AD5"/>
    <w:rsid w:val="00875B0B"/>
    <w:rsid w:val="00887B63"/>
    <w:rsid w:val="008B643F"/>
    <w:rsid w:val="008C2C00"/>
    <w:rsid w:val="008C4D92"/>
    <w:rsid w:val="008C4F3B"/>
    <w:rsid w:val="008E04CC"/>
    <w:rsid w:val="008F1218"/>
    <w:rsid w:val="00925B3D"/>
    <w:rsid w:val="00942769"/>
    <w:rsid w:val="00944378"/>
    <w:rsid w:val="009527C9"/>
    <w:rsid w:val="00955DF7"/>
    <w:rsid w:val="00960027"/>
    <w:rsid w:val="00982C92"/>
    <w:rsid w:val="0098351C"/>
    <w:rsid w:val="009968FB"/>
    <w:rsid w:val="009E2799"/>
    <w:rsid w:val="009F0192"/>
    <w:rsid w:val="009F7BD3"/>
    <w:rsid w:val="00A01934"/>
    <w:rsid w:val="00A207C7"/>
    <w:rsid w:val="00A315A9"/>
    <w:rsid w:val="00A46CD6"/>
    <w:rsid w:val="00A50E7A"/>
    <w:rsid w:val="00A66939"/>
    <w:rsid w:val="00A71E77"/>
    <w:rsid w:val="00A777F1"/>
    <w:rsid w:val="00A8695A"/>
    <w:rsid w:val="00A901A7"/>
    <w:rsid w:val="00A91734"/>
    <w:rsid w:val="00A95E1E"/>
    <w:rsid w:val="00A95FF2"/>
    <w:rsid w:val="00AA4C56"/>
    <w:rsid w:val="00AB695F"/>
    <w:rsid w:val="00AC2FCC"/>
    <w:rsid w:val="00AD7636"/>
    <w:rsid w:val="00AF4FB4"/>
    <w:rsid w:val="00B22FE8"/>
    <w:rsid w:val="00B352C6"/>
    <w:rsid w:val="00B3576F"/>
    <w:rsid w:val="00B54120"/>
    <w:rsid w:val="00B635ED"/>
    <w:rsid w:val="00B65662"/>
    <w:rsid w:val="00B673FE"/>
    <w:rsid w:val="00B80A4B"/>
    <w:rsid w:val="00B82FEE"/>
    <w:rsid w:val="00B8382B"/>
    <w:rsid w:val="00BB12B8"/>
    <w:rsid w:val="00BB5F46"/>
    <w:rsid w:val="00BC0319"/>
    <w:rsid w:val="00BD635C"/>
    <w:rsid w:val="00C13327"/>
    <w:rsid w:val="00C13782"/>
    <w:rsid w:val="00C213B4"/>
    <w:rsid w:val="00C25E2B"/>
    <w:rsid w:val="00C30152"/>
    <w:rsid w:val="00C43311"/>
    <w:rsid w:val="00C455AF"/>
    <w:rsid w:val="00C6177A"/>
    <w:rsid w:val="00C82208"/>
    <w:rsid w:val="00C83C23"/>
    <w:rsid w:val="00C93769"/>
    <w:rsid w:val="00C9549E"/>
    <w:rsid w:val="00CA563E"/>
    <w:rsid w:val="00CB219E"/>
    <w:rsid w:val="00CB4912"/>
    <w:rsid w:val="00CC67D7"/>
    <w:rsid w:val="00CE1C2A"/>
    <w:rsid w:val="00D00E65"/>
    <w:rsid w:val="00D32793"/>
    <w:rsid w:val="00D32807"/>
    <w:rsid w:val="00D34853"/>
    <w:rsid w:val="00D406CB"/>
    <w:rsid w:val="00D430E2"/>
    <w:rsid w:val="00D43E66"/>
    <w:rsid w:val="00D55883"/>
    <w:rsid w:val="00D63E3D"/>
    <w:rsid w:val="00D64A0E"/>
    <w:rsid w:val="00D67D00"/>
    <w:rsid w:val="00D7048E"/>
    <w:rsid w:val="00D75061"/>
    <w:rsid w:val="00D77C8B"/>
    <w:rsid w:val="00D84468"/>
    <w:rsid w:val="00DA7467"/>
    <w:rsid w:val="00DD465A"/>
    <w:rsid w:val="00DD490F"/>
    <w:rsid w:val="00DE1719"/>
    <w:rsid w:val="00DF6CBC"/>
    <w:rsid w:val="00E05CF6"/>
    <w:rsid w:val="00E06E55"/>
    <w:rsid w:val="00E14ABA"/>
    <w:rsid w:val="00E34134"/>
    <w:rsid w:val="00E36118"/>
    <w:rsid w:val="00E376E1"/>
    <w:rsid w:val="00E5129B"/>
    <w:rsid w:val="00E72D86"/>
    <w:rsid w:val="00E7347D"/>
    <w:rsid w:val="00E7772A"/>
    <w:rsid w:val="00E77B57"/>
    <w:rsid w:val="00E80681"/>
    <w:rsid w:val="00E81043"/>
    <w:rsid w:val="00EA332A"/>
    <w:rsid w:val="00EB30F1"/>
    <w:rsid w:val="00EC26E1"/>
    <w:rsid w:val="00ED0002"/>
    <w:rsid w:val="00EE1796"/>
    <w:rsid w:val="00EE6C6A"/>
    <w:rsid w:val="00F00381"/>
    <w:rsid w:val="00F14715"/>
    <w:rsid w:val="00F30187"/>
    <w:rsid w:val="00F308D9"/>
    <w:rsid w:val="00F33D50"/>
    <w:rsid w:val="00F523CE"/>
    <w:rsid w:val="00F63C58"/>
    <w:rsid w:val="00F74018"/>
    <w:rsid w:val="00F86362"/>
    <w:rsid w:val="00FB18EF"/>
    <w:rsid w:val="00FB3CB7"/>
    <w:rsid w:val="00FB5213"/>
    <w:rsid w:val="00FB79E7"/>
    <w:rsid w:val="00FD6383"/>
    <w:rsid w:val="00FD64D8"/>
    <w:rsid w:val="00FE531D"/>
    <w:rsid w:val="00FF2F73"/>
    <w:rsid w:val="00FF4033"/>
    <w:rsid w:val="2C4CB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07A3"/>
  <w15:docId w15:val="{641DC56C-98AB-463B-9D31-16A67314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semiHidden/>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8E04CC"/>
    <w:pPr>
      <w:numPr>
        <w:ilvl w:val="1"/>
      </w:numPr>
      <w:spacing w:before="240"/>
      <w:outlineLvl w:val="1"/>
    </w:pPr>
    <w:rPr>
      <w:rFonts w:cs="Arial"/>
      <w:sz w:val="24"/>
      <w:szCs w:val="24"/>
    </w:rPr>
  </w:style>
  <w:style w:type="paragraph" w:customStyle="1" w:styleId="ANNEX-heading2">
    <w:name w:val="ANNEX-heading2"/>
    <w:basedOn w:val="ANNEX-heading1"/>
    <w:next w:val="NormalParagraph"/>
    <w:uiPriority w:val="26"/>
    <w:rsid w:val="008E04CC"/>
    <w:pPr>
      <w:numPr>
        <w:ilvl w:val="2"/>
      </w:numPr>
      <w:outlineLvl w:val="2"/>
    </w:pPr>
    <w:rPr>
      <w:bCs/>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CommentReference">
    <w:name w:val="annotation reference"/>
    <w:basedOn w:val="DefaultParagraphFont"/>
    <w:uiPriority w:val="99"/>
    <w:semiHidden/>
    <w:unhideWhenUsed/>
    <w:rsid w:val="00EC26E1"/>
    <w:rPr>
      <w:sz w:val="16"/>
      <w:szCs w:val="16"/>
    </w:rPr>
  </w:style>
  <w:style w:type="paragraph" w:styleId="CommentText">
    <w:name w:val="annotation text"/>
    <w:basedOn w:val="Normal"/>
    <w:link w:val="CommentTextChar"/>
    <w:uiPriority w:val="99"/>
    <w:unhideWhenUsed/>
    <w:rsid w:val="00EC26E1"/>
    <w:rPr>
      <w:sz w:val="20"/>
      <w:szCs w:val="25"/>
    </w:rPr>
  </w:style>
  <w:style w:type="character" w:customStyle="1" w:styleId="CommentTextChar">
    <w:name w:val="Comment Text Char"/>
    <w:basedOn w:val="DefaultParagraphFont"/>
    <w:link w:val="CommentText"/>
    <w:uiPriority w:val="99"/>
    <w:rsid w:val="00EC26E1"/>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C26E1"/>
    <w:rPr>
      <w:b/>
      <w:bCs/>
    </w:rPr>
  </w:style>
  <w:style w:type="character" w:customStyle="1" w:styleId="CommentSubjectChar">
    <w:name w:val="Comment Subject Char"/>
    <w:basedOn w:val="CommentTextChar"/>
    <w:link w:val="CommentSubject"/>
    <w:uiPriority w:val="99"/>
    <w:semiHidden/>
    <w:rsid w:val="00EC26E1"/>
    <w:rPr>
      <w:rFonts w:ascii="Arial" w:eastAsia="SimSun" w:hAnsi="Arial"/>
      <w:b/>
      <w:bCs/>
      <w:szCs w:val="25"/>
      <w:lang w:eastAsia="zh-CN" w:bidi="bn-BD"/>
    </w:rPr>
  </w:style>
  <w:style w:type="paragraph" w:customStyle="1" w:styleId="GSMAlogo">
    <w:name w:val="GSMA_logo"/>
    <w:basedOn w:val="Centredtext"/>
    <w:uiPriority w:val="49"/>
    <w:qFormat/>
    <w:rsid w:val="0019256D"/>
    <w:pPr>
      <w:spacing w:after="840"/>
    </w:pPr>
  </w:style>
  <w:style w:type="paragraph" w:customStyle="1" w:styleId="paragraph">
    <w:name w:val="paragraph"/>
    <w:basedOn w:val="Normal"/>
    <w:rsid w:val="00A8695A"/>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normaltextrun">
    <w:name w:val="normaltextrun"/>
    <w:basedOn w:val="DefaultParagraphFont"/>
    <w:rsid w:val="00A8695A"/>
  </w:style>
  <w:style w:type="character" w:customStyle="1" w:styleId="eop">
    <w:name w:val="eop"/>
    <w:basedOn w:val="DefaultParagraphFont"/>
    <w:rsid w:val="00A8695A"/>
  </w:style>
  <w:style w:type="character" w:customStyle="1" w:styleId="scxw28808128">
    <w:name w:val="scxw28808128"/>
    <w:basedOn w:val="DefaultParagraphFont"/>
    <w:rsid w:val="00A8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d@gsm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ulia\WAS\GSMA%20P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QRTApproved xmlns="02123d5c-1f7b-44a4-aa87-0be3ecfddb4f">false</DQRTApproved>
  </documentManagement>
</p:properties>
</file>

<file path=customXml/item2.xml><?xml version="1.0" encoding="utf-8"?>
<?mso-contentType ?>
<SharedContentType xmlns="Microsoft.SharePoint.Taxonomy.ContentTypeSync" SourceId="016841fc-e166-4759-8b80-df1e1b3669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5E699076D7A146B7E9134B2C9C4A67" ma:contentTypeVersion="16" ma:contentTypeDescription="Create a new document." ma:contentTypeScope="" ma:versionID="9c5d7345eb3e4fe70d5eee9157039616">
  <xsd:schema xmlns:xsd="http://www.w3.org/2001/XMLSchema" xmlns:xs="http://www.w3.org/2001/XMLSchema" xmlns:p="http://schemas.microsoft.com/office/2006/metadata/properties" xmlns:ns2="02123d5c-1f7b-44a4-aa87-0be3ecfddb4f" xmlns:ns3="042849a8-708d-4484-ba8e-78db4b11d06f" targetNamespace="http://schemas.microsoft.com/office/2006/metadata/properties" ma:root="true" ma:fieldsID="48a0b077aa7f2f67aceeaefbc16b72b1" ns2:_="" ns3:_="">
    <xsd:import namespace="02123d5c-1f7b-44a4-aa87-0be3ecfddb4f"/>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DQR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3d5c-1f7b-44a4-aa87-0be3ecfd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QRTApproved" ma:index="14" nillable="true" ma:displayName="DQRT Approved" ma:default="0" ma:format="Dropdown" ma:internalName="DQR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02123d5c-1f7b-44a4-aa87-0be3ecfddb4f"/>
  </ds:schemaRefs>
</ds:datastoreItem>
</file>

<file path=customXml/itemProps2.xml><?xml version="1.0" encoding="utf-8"?>
<ds:datastoreItem xmlns:ds="http://schemas.openxmlformats.org/officeDocument/2006/customXml" ds:itemID="{2A2290B8-8FB7-4F57-8DF7-A6E5A1DBC165}">
  <ds:schemaRefs>
    <ds:schemaRef ds:uri="Microsoft.SharePoint.Taxonomy.ContentTypeSync"/>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17B4F615-B0A8-45C2-BE39-630E05BD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3d5c-1f7b-44a4-aa87-0be3ecfddb4f"/>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001B7-FA89-4B61-B4D5-8DD2C703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GSMA PRD Template</Template>
  <TotalTime>10</TotalTime>
  <Pages>25</Pages>
  <Words>6054</Words>
  <Characters>34510</Characters>
  <Application>Microsoft Office Word</Application>
  <DocSecurity>0</DocSecurity>
  <Lines>287</Lines>
  <Paragraphs>80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GSMA Official Document</vt:lpstr>
      <vt:lpstr>Wi-Fi Inflight Agreement Template</vt:lpstr>
      <vt:lpstr>Introduction</vt:lpstr>
      <vt:lpstr>Starting Date</vt:lpstr>
      <vt:lpstr>Definitions</vt:lpstr>
      <vt:lpstr>Annexes</vt:lpstr>
      <vt:lpstr>Scope of the Agreement</vt:lpstr>
      <vt:lpstr>Implementation of the Network and Services </vt:lpstr>
      <vt:lpstr>Management of Modifications to the Services</vt:lpstr>
      <vt:lpstr>Charging, Billing &amp; Accounting</vt:lpstr>
      <vt:lpstr>Confidentiality</vt:lpstr>
      <vt:lpstr>Data Privacy </vt:lpstr>
      <vt:lpstr>Fraud Prevention</vt:lpstr>
      <vt:lpstr>Liability of the Parties</vt:lpstr>
      <vt:lpstr>Suspension of Services</vt:lpstr>
      <vt:lpstr>Force Majeure</vt:lpstr>
      <vt:lpstr>Duration of the Agreement</vt:lpstr>
      <vt:lpstr>Termination of the Agreement</vt:lpstr>
      <vt:lpstr>Changes to the Agreement, Annexes and Addenda</vt:lpstr>
      <vt:lpstr>Miscellaneous</vt:lpstr>
      <vt:lpstr>Choice of Law</vt:lpstr>
      <vt:lpstr>Dispute Resolution &amp; Arbitration</vt:lpstr>
      <vt:lpstr>Signatures</vt:lpstr>
      <vt:lpstr>Overview of the Annex Structure</vt:lpstr>
      <vt:lpstr>ANNEX 1 AGREEMENT MANAGEMENT PRINCIPLES</vt:lpstr>
      <vt:lpstr>ANNEX 2 Wi-Fi INFLIGHT SERVICES</vt:lpstr>
      <vt:lpstr>ANNEX 3 BILLING AND ACCOUNTING</vt:lpstr>
      <vt:lpstr>ANNEX 3.1 INFORMATION ON CDR BILLING DATA</vt:lpstr>
      <vt:lpstr>ANNEX 3.1.1 INFORMATION ON CDR</vt:lpstr>
      <vt:lpstr>ANNEX 3.2 SETTLEMENT PROCEDURE </vt:lpstr>
      <vt:lpstr>ANNEX 4 TECHNICAL ASPECTS</vt:lpstr>
      <vt:lpstr>ANNEX 5 FRAUD PREVENTION PROCEDURES</vt:lpstr>
      <vt:lpstr>ANNEX 6 SERVICE LEVEL AGREEMENT</vt:lpstr>
      <vt:lpstr>ANNEX 7 Contact Details for Parties, Tariffs, Aircraft/Flights included in offe</vt:lpstr>
      <vt:lpstr>Document Management</vt:lpstr>
      <vt:lpstr>    Document History</vt:lpstr>
      <vt:lpstr>    Other Information</vt:lpstr>
    </vt:vector>
  </TitlesOfParts>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AA.105 Wi-Fi Inflight Agreement Template v1.0 (Current)</dc:title>
  <dc:creator>Julia Gullstrand</dc:creator>
  <cp:lastModifiedBy>Julia Gullstrand</cp:lastModifiedBy>
  <cp:revision>3</cp:revision>
  <dcterms:created xsi:type="dcterms:W3CDTF">2025-05-21T14:42:00Z</dcterms:created>
  <dcterms:modified xsi:type="dcterms:W3CDTF">2025-05-21T14:48:00Z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0x010100395E699076D7A146B7E9134B2C9C4A67</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9;#Non-binding Permanent Reference Document|f2b66ae7-18b0-43ea-8a0b-7e36235f11a3</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ies>
</file>