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2B6" w:rsidRDefault="002A75CE">
      <w:pPr>
        <w:pStyle w:val="PlainText"/>
        <w:spacing w:after="120"/>
      </w:pPr>
      <w:bookmarkStart w:id="0" w:name="_GoBack"/>
      <w:bookmarkEnd w:id="0"/>
      <w:r>
        <w:rPr>
          <w:noProof/>
          <w:lang w:val="en-GB" w:eastAsia="en-GB" w:bidi="ar-SA"/>
        </w:rPr>
        <w:drawing>
          <wp:inline distT="0" distB="0" distL="0" distR="0">
            <wp:extent cx="784225" cy="78613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5"/>
                    <a:srcRect/>
                    <a:stretch>
                      <a:fillRect/>
                    </a:stretch>
                  </pic:blipFill>
                  <pic:spPr bwMode="auto">
                    <a:xfrm>
                      <a:off x="0" y="0"/>
                      <a:ext cx="784225" cy="786130"/>
                    </a:xfrm>
                    <a:prstGeom prst="rect">
                      <a:avLst/>
                    </a:prstGeom>
                    <a:noFill/>
                    <a:ln w="9525">
                      <a:noFill/>
                      <a:miter lim="800000"/>
                      <a:headEnd/>
                      <a:tailEnd/>
                    </a:ln>
                  </pic:spPr>
                </pic:pic>
              </a:graphicData>
            </a:graphic>
          </wp:inline>
        </w:drawing>
      </w:r>
    </w:p>
    <w:p w:rsidR="007302B6" w:rsidRDefault="007302B6">
      <w:pPr>
        <w:pStyle w:val="PlainText"/>
        <w:spacing w:after="120"/>
        <w:jc w:val="center"/>
      </w:pPr>
    </w:p>
    <w:p w:rsidR="007302B6" w:rsidRPr="00747A6A" w:rsidRDefault="002A75CE">
      <w:pPr>
        <w:pStyle w:val="PlainText"/>
        <w:spacing w:after="120"/>
        <w:jc w:val="center"/>
        <w:rPr>
          <w:sz w:val="24"/>
          <w:szCs w:val="24"/>
        </w:rPr>
      </w:pPr>
      <w:r w:rsidRPr="00747A6A">
        <w:rPr>
          <w:rFonts w:ascii="Arial" w:hAnsi="Arial" w:cs="Arial"/>
          <w:b/>
          <w:sz w:val="24"/>
          <w:szCs w:val="24"/>
          <w:lang w:val="es-ES"/>
        </w:rPr>
        <w:t xml:space="preserve">NUEVO </w:t>
      </w:r>
      <w:r w:rsidR="007C719C" w:rsidRPr="00747A6A">
        <w:rPr>
          <w:rFonts w:ascii="Arial" w:hAnsi="Arial" w:cs="Arial"/>
          <w:b/>
          <w:sz w:val="24"/>
          <w:szCs w:val="24"/>
          <w:lang w:val="es-ES"/>
        </w:rPr>
        <w:t xml:space="preserve">REPORTE </w:t>
      </w:r>
      <w:r w:rsidRPr="00747A6A">
        <w:rPr>
          <w:rFonts w:ascii="Arial" w:hAnsi="Arial" w:cs="Arial"/>
          <w:b/>
          <w:sz w:val="24"/>
          <w:szCs w:val="24"/>
          <w:lang w:val="es-ES"/>
        </w:rPr>
        <w:t>DE</w:t>
      </w:r>
      <w:r w:rsidR="007C719C" w:rsidRPr="00747A6A">
        <w:rPr>
          <w:rFonts w:ascii="Arial" w:hAnsi="Arial" w:cs="Arial"/>
          <w:b/>
          <w:sz w:val="24"/>
          <w:szCs w:val="24"/>
          <w:lang w:val="es-ES"/>
        </w:rPr>
        <w:t xml:space="preserve"> LA</w:t>
      </w:r>
      <w:r w:rsidRPr="00747A6A">
        <w:rPr>
          <w:rFonts w:ascii="Arial" w:hAnsi="Arial" w:cs="Arial"/>
          <w:b/>
          <w:sz w:val="24"/>
          <w:szCs w:val="24"/>
          <w:lang w:val="es-ES"/>
        </w:rPr>
        <w:t xml:space="preserve"> GSMA DEMUESTRA QUE LOS SERVICIOS DE LTE Y TELEVISIÓN PUEDEN COEXISTIR EN BRASIL </w:t>
      </w:r>
    </w:p>
    <w:p w:rsidR="007302B6" w:rsidRDefault="007302B6">
      <w:pPr>
        <w:pStyle w:val="PlainText"/>
        <w:spacing w:after="120"/>
        <w:jc w:val="center"/>
      </w:pPr>
    </w:p>
    <w:p w:rsidR="007302B6" w:rsidRPr="00747A6A" w:rsidRDefault="002A75CE">
      <w:pPr>
        <w:pStyle w:val="PlainText"/>
        <w:spacing w:after="120"/>
        <w:jc w:val="center"/>
        <w:rPr>
          <w:sz w:val="22"/>
          <w:szCs w:val="22"/>
        </w:rPr>
      </w:pPr>
      <w:r w:rsidRPr="00747A6A">
        <w:rPr>
          <w:rFonts w:ascii="Arial" w:hAnsi="Arial" w:cs="Arial"/>
          <w:i/>
          <w:sz w:val="22"/>
          <w:szCs w:val="22"/>
          <w:lang w:val="es-ES"/>
        </w:rPr>
        <w:t xml:space="preserve">EL Estudio Muestra Opciones de Mitigación Entre los Sistemas LTE y ISDB-T </w:t>
      </w:r>
    </w:p>
    <w:p w:rsidR="007302B6" w:rsidRDefault="007302B6">
      <w:pPr>
        <w:pStyle w:val="PlainText"/>
        <w:spacing w:line="276" w:lineRule="auto"/>
      </w:pPr>
    </w:p>
    <w:p w:rsidR="007302B6" w:rsidRPr="00747A6A" w:rsidRDefault="002A75CE">
      <w:pPr>
        <w:pStyle w:val="PlainText"/>
        <w:spacing w:line="276" w:lineRule="auto"/>
        <w:rPr>
          <w:rFonts w:ascii="Arial" w:hAnsi="Arial" w:cs="Arial"/>
          <w:sz w:val="22"/>
          <w:szCs w:val="22"/>
        </w:rPr>
      </w:pPr>
      <w:r w:rsidRPr="004B4D1D">
        <w:rPr>
          <w:rFonts w:ascii="Arial" w:hAnsi="Arial" w:cs="Arial"/>
          <w:b/>
          <w:sz w:val="22"/>
          <w:szCs w:val="22"/>
          <w:highlight w:val="yellow"/>
          <w:lang w:val="es-ES"/>
        </w:rPr>
        <w:t>X</w:t>
      </w:r>
      <w:r w:rsidRPr="00747A6A">
        <w:rPr>
          <w:rFonts w:ascii="Arial" w:hAnsi="Arial" w:cs="Arial"/>
          <w:b/>
          <w:sz w:val="22"/>
          <w:szCs w:val="22"/>
          <w:lang w:val="es-ES"/>
        </w:rPr>
        <w:t xml:space="preserve"> de diciembre de 2013, Londres:</w:t>
      </w:r>
      <w:r w:rsidRPr="00747A6A">
        <w:rPr>
          <w:rFonts w:ascii="Arial" w:hAnsi="Arial" w:cs="Arial"/>
          <w:sz w:val="22"/>
          <w:szCs w:val="22"/>
          <w:lang w:val="es-ES"/>
        </w:rPr>
        <w:t xml:space="preserve"> </w:t>
      </w:r>
      <w:r w:rsidR="007C719C" w:rsidRPr="00747A6A">
        <w:rPr>
          <w:rFonts w:ascii="Arial" w:hAnsi="Arial" w:cs="Arial"/>
          <w:sz w:val="22"/>
          <w:szCs w:val="22"/>
          <w:lang w:val="es-ES"/>
        </w:rPr>
        <w:t xml:space="preserve">La </w:t>
      </w:r>
      <w:r w:rsidRPr="00747A6A">
        <w:rPr>
          <w:rFonts w:ascii="Arial" w:hAnsi="Arial" w:cs="Arial"/>
          <w:color w:val="000000"/>
          <w:sz w:val="22"/>
          <w:szCs w:val="22"/>
          <w:lang w:val="es-ES"/>
        </w:rPr>
        <w:t xml:space="preserve">GSMA anunció hoy los resultados de un nuevo estudio </w:t>
      </w:r>
      <w:r w:rsidR="00175E6B" w:rsidRPr="00747A6A">
        <w:rPr>
          <w:rFonts w:ascii="Arial" w:hAnsi="Arial" w:cs="Arial"/>
          <w:color w:val="000000"/>
          <w:sz w:val="22"/>
          <w:szCs w:val="22"/>
          <w:lang w:val="es-ES"/>
        </w:rPr>
        <w:t xml:space="preserve">a cargo de la consultora </w:t>
      </w:r>
      <w:r w:rsidRPr="00747A6A">
        <w:rPr>
          <w:rFonts w:ascii="Arial" w:hAnsi="Arial" w:cs="Arial"/>
          <w:color w:val="000000"/>
          <w:sz w:val="22"/>
          <w:szCs w:val="22"/>
          <w:lang w:val="es-ES"/>
        </w:rPr>
        <w:t>ATDI</w:t>
      </w:r>
      <w:r w:rsidRPr="00747A6A">
        <w:rPr>
          <w:rFonts w:ascii="Arial" w:hAnsi="Arial" w:cs="Arial"/>
          <w:color w:val="000000"/>
          <w:sz w:val="22"/>
          <w:szCs w:val="22"/>
          <w:vertAlign w:val="superscript"/>
          <w:lang w:val="es-ES"/>
        </w:rPr>
        <w:t>1</w:t>
      </w:r>
      <w:r w:rsidRPr="00747A6A">
        <w:rPr>
          <w:rFonts w:ascii="Arial" w:hAnsi="Arial" w:cs="Arial"/>
          <w:color w:val="000000"/>
          <w:sz w:val="22"/>
          <w:szCs w:val="22"/>
          <w:lang w:val="es-ES"/>
        </w:rPr>
        <w:t xml:space="preserve">, que examina las formas de mitigar la interferencia entre </w:t>
      </w:r>
      <w:r w:rsidR="00175E6B" w:rsidRPr="00747A6A">
        <w:rPr>
          <w:rFonts w:ascii="Arial" w:hAnsi="Arial" w:cs="Arial"/>
          <w:color w:val="000000"/>
          <w:sz w:val="22"/>
          <w:szCs w:val="22"/>
          <w:lang w:val="es-ES"/>
        </w:rPr>
        <w:t>los nuevos servicios</w:t>
      </w:r>
      <w:r w:rsidRPr="00747A6A">
        <w:rPr>
          <w:rFonts w:ascii="Arial" w:hAnsi="Arial" w:cs="Arial"/>
          <w:color w:val="000000"/>
          <w:sz w:val="22"/>
          <w:szCs w:val="22"/>
          <w:lang w:val="es-ES"/>
        </w:rPr>
        <w:t xml:space="preserve"> móvil</w:t>
      </w:r>
      <w:r w:rsidR="007C719C" w:rsidRPr="00747A6A">
        <w:rPr>
          <w:rFonts w:ascii="Arial" w:hAnsi="Arial" w:cs="Arial"/>
          <w:color w:val="000000"/>
          <w:sz w:val="22"/>
          <w:szCs w:val="22"/>
          <w:lang w:val="es-ES"/>
        </w:rPr>
        <w:t xml:space="preserve">es </w:t>
      </w:r>
      <w:r w:rsidR="00175E6B" w:rsidRPr="00747A6A">
        <w:rPr>
          <w:rFonts w:ascii="Arial" w:hAnsi="Arial" w:cs="Arial"/>
          <w:color w:val="000000"/>
          <w:sz w:val="22"/>
          <w:szCs w:val="22"/>
          <w:lang w:val="es-ES"/>
        </w:rPr>
        <w:t>que utilizan la tecnología</w:t>
      </w:r>
      <w:r w:rsidRPr="00747A6A">
        <w:rPr>
          <w:rFonts w:ascii="Arial" w:hAnsi="Arial" w:cs="Arial"/>
          <w:color w:val="000000"/>
          <w:sz w:val="22"/>
          <w:szCs w:val="22"/>
          <w:lang w:val="es-ES"/>
        </w:rPr>
        <w:t xml:space="preserve"> LTE y los servicios de televisión ya existentes. En octubre, </w:t>
      </w:r>
      <w:r w:rsidR="007C719C" w:rsidRPr="00747A6A">
        <w:rPr>
          <w:rFonts w:ascii="Arial" w:hAnsi="Arial" w:cs="Arial"/>
          <w:color w:val="000000"/>
          <w:sz w:val="22"/>
          <w:szCs w:val="22"/>
          <w:lang w:val="es-ES"/>
        </w:rPr>
        <w:t>el regulador</w:t>
      </w:r>
      <w:r w:rsidRPr="00747A6A">
        <w:rPr>
          <w:rFonts w:ascii="Arial" w:hAnsi="Arial" w:cs="Arial"/>
          <w:color w:val="000000"/>
          <w:sz w:val="22"/>
          <w:szCs w:val="22"/>
          <w:lang w:val="es-ES"/>
        </w:rPr>
        <w:t xml:space="preserve"> brasile</w:t>
      </w:r>
      <w:r w:rsidR="007C719C" w:rsidRPr="00747A6A">
        <w:rPr>
          <w:rFonts w:ascii="Arial" w:hAnsi="Arial" w:cs="Arial"/>
          <w:color w:val="000000"/>
          <w:sz w:val="22"/>
          <w:szCs w:val="22"/>
          <w:lang w:val="es-ES"/>
        </w:rPr>
        <w:t>ño</w:t>
      </w:r>
      <w:r w:rsidRPr="00747A6A">
        <w:rPr>
          <w:rFonts w:ascii="Arial" w:hAnsi="Arial" w:cs="Arial"/>
          <w:color w:val="000000"/>
          <w:sz w:val="22"/>
          <w:szCs w:val="22"/>
          <w:lang w:val="es-ES"/>
        </w:rPr>
        <w:t xml:space="preserve"> ANATEL tomó la decisión de </w:t>
      </w:r>
      <w:r w:rsidR="007C719C" w:rsidRPr="00747A6A">
        <w:rPr>
          <w:rFonts w:ascii="Arial" w:hAnsi="Arial" w:cs="Arial"/>
          <w:color w:val="000000"/>
          <w:sz w:val="22"/>
          <w:szCs w:val="22"/>
          <w:lang w:val="es-ES"/>
        </w:rPr>
        <w:t xml:space="preserve">asignar </w:t>
      </w:r>
      <w:r w:rsidRPr="00747A6A">
        <w:rPr>
          <w:rFonts w:ascii="Arial" w:hAnsi="Arial" w:cs="Arial"/>
          <w:color w:val="000000"/>
          <w:sz w:val="22"/>
          <w:szCs w:val="22"/>
          <w:lang w:val="es-ES"/>
        </w:rPr>
        <w:t xml:space="preserve">el Dividendo Digital para </w:t>
      </w:r>
      <w:r w:rsidR="007C719C" w:rsidRPr="00747A6A">
        <w:rPr>
          <w:rFonts w:ascii="Arial" w:hAnsi="Arial" w:cs="Arial"/>
          <w:color w:val="000000"/>
          <w:sz w:val="22"/>
          <w:szCs w:val="22"/>
          <w:lang w:val="es-ES"/>
        </w:rPr>
        <w:t>servicios móviles</w:t>
      </w:r>
      <w:r w:rsidRPr="00747A6A">
        <w:rPr>
          <w:rFonts w:ascii="Arial" w:hAnsi="Arial" w:cs="Arial"/>
          <w:color w:val="000000"/>
          <w:sz w:val="22"/>
          <w:szCs w:val="22"/>
          <w:lang w:val="es-ES"/>
        </w:rPr>
        <w:t xml:space="preserve"> y adoptar el plan </w:t>
      </w:r>
      <w:r w:rsidR="00175E6B" w:rsidRPr="00747A6A">
        <w:rPr>
          <w:rFonts w:ascii="Arial" w:hAnsi="Arial" w:cs="Arial"/>
          <w:color w:val="000000"/>
          <w:sz w:val="22"/>
          <w:szCs w:val="22"/>
          <w:lang w:val="es-ES"/>
        </w:rPr>
        <w:t>de banda</w:t>
      </w:r>
      <w:r w:rsidRPr="00747A6A">
        <w:rPr>
          <w:rFonts w:ascii="Arial" w:hAnsi="Arial" w:cs="Arial"/>
          <w:color w:val="000000"/>
          <w:sz w:val="22"/>
          <w:szCs w:val="22"/>
          <w:lang w:val="es-ES"/>
        </w:rPr>
        <w:t xml:space="preserve"> de Asia Pacífico (APT)</w:t>
      </w:r>
      <w:r w:rsidR="00175E6B" w:rsidRPr="00747A6A">
        <w:rPr>
          <w:rFonts w:ascii="Arial" w:hAnsi="Arial" w:cs="Arial"/>
          <w:color w:val="000000"/>
          <w:sz w:val="22"/>
          <w:szCs w:val="22"/>
          <w:lang w:val="es-ES"/>
        </w:rPr>
        <w:t>.</w:t>
      </w:r>
      <w:r w:rsidRPr="00747A6A">
        <w:rPr>
          <w:rFonts w:ascii="Arial" w:hAnsi="Arial" w:cs="Arial"/>
          <w:color w:val="000000"/>
          <w:sz w:val="22"/>
          <w:szCs w:val="22"/>
          <w:lang w:val="es-ES"/>
        </w:rPr>
        <w:t xml:space="preserve"> </w:t>
      </w:r>
    </w:p>
    <w:p w:rsidR="007302B6" w:rsidRPr="00747A6A" w:rsidRDefault="007302B6">
      <w:pPr>
        <w:pStyle w:val="PlainText"/>
        <w:spacing w:line="276" w:lineRule="auto"/>
        <w:rPr>
          <w:rFonts w:ascii="Arial" w:hAnsi="Arial" w:cs="Arial"/>
          <w:sz w:val="22"/>
          <w:szCs w:val="22"/>
        </w:rPr>
      </w:pPr>
    </w:p>
    <w:p w:rsidR="007302B6" w:rsidRPr="00747A6A" w:rsidRDefault="002A75CE">
      <w:pPr>
        <w:pStyle w:val="PlainText"/>
        <w:spacing w:line="276" w:lineRule="auto"/>
        <w:rPr>
          <w:rFonts w:ascii="Arial" w:hAnsi="Arial" w:cs="Arial"/>
          <w:sz w:val="22"/>
          <w:szCs w:val="22"/>
        </w:rPr>
      </w:pPr>
      <w:r w:rsidRPr="00747A6A">
        <w:rPr>
          <w:rFonts w:ascii="Arial" w:hAnsi="Arial" w:cs="Arial"/>
          <w:color w:val="000000"/>
          <w:sz w:val="22"/>
          <w:szCs w:val="22"/>
          <w:lang w:val="es-ES"/>
        </w:rPr>
        <w:t xml:space="preserve">Las proyecciones indican que usar la banda de 700MHz para banda </w:t>
      </w:r>
      <w:r w:rsidR="007C719C" w:rsidRPr="00747A6A">
        <w:rPr>
          <w:rFonts w:ascii="Arial" w:hAnsi="Arial" w:cs="Arial"/>
          <w:color w:val="000000"/>
          <w:sz w:val="22"/>
          <w:szCs w:val="22"/>
          <w:lang w:val="es-ES"/>
        </w:rPr>
        <w:t xml:space="preserve">ancha </w:t>
      </w:r>
      <w:r w:rsidRPr="00747A6A">
        <w:rPr>
          <w:rFonts w:ascii="Arial" w:hAnsi="Arial" w:cs="Arial"/>
          <w:color w:val="000000"/>
          <w:sz w:val="22"/>
          <w:szCs w:val="22"/>
          <w:lang w:val="es-ES"/>
        </w:rPr>
        <w:t xml:space="preserve">móvil generará sustanciales beneficios socioeconómicos para Brasil, contribuyendo con un adicional de </w:t>
      </w:r>
    </w:p>
    <w:p w:rsidR="007302B6" w:rsidRPr="00747A6A" w:rsidRDefault="002A75CE">
      <w:pPr>
        <w:pStyle w:val="PlainText"/>
        <w:spacing w:line="276" w:lineRule="auto"/>
        <w:rPr>
          <w:rFonts w:ascii="Arial" w:hAnsi="Arial" w:cs="Arial"/>
          <w:sz w:val="22"/>
          <w:szCs w:val="22"/>
        </w:rPr>
      </w:pPr>
      <w:r w:rsidRPr="00747A6A">
        <w:rPr>
          <w:rFonts w:ascii="Arial" w:hAnsi="Arial" w:cs="Arial"/>
          <w:color w:val="000000"/>
          <w:sz w:val="22"/>
          <w:szCs w:val="22"/>
          <w:lang w:val="es-ES"/>
        </w:rPr>
        <w:t xml:space="preserve">US$1.400 millones para el PBI, creando más de 4.300 oportunidades de trabajo y generando ingresos fiscales adicionales </w:t>
      </w:r>
      <w:r w:rsidR="00CD3DB6" w:rsidRPr="00747A6A">
        <w:rPr>
          <w:rFonts w:ascii="Arial" w:hAnsi="Arial" w:cs="Arial"/>
          <w:color w:val="000000"/>
          <w:sz w:val="22"/>
          <w:szCs w:val="22"/>
          <w:lang w:val="es-ES"/>
        </w:rPr>
        <w:t xml:space="preserve">por </w:t>
      </w:r>
      <w:r w:rsidRPr="00747A6A">
        <w:rPr>
          <w:rFonts w:ascii="Arial" w:hAnsi="Arial" w:cs="Arial"/>
          <w:color w:val="000000"/>
          <w:sz w:val="22"/>
          <w:szCs w:val="22"/>
          <w:lang w:val="es-ES"/>
        </w:rPr>
        <w:t>US$1.300 millones hasta 2020</w:t>
      </w:r>
      <w:r w:rsidRPr="00747A6A">
        <w:rPr>
          <w:rFonts w:ascii="Arial" w:hAnsi="Arial" w:cs="Arial"/>
          <w:color w:val="000000"/>
          <w:sz w:val="22"/>
          <w:szCs w:val="22"/>
          <w:vertAlign w:val="superscript"/>
          <w:lang w:val="es-ES"/>
        </w:rPr>
        <w:t>2</w:t>
      </w:r>
      <w:r w:rsidRPr="00747A6A">
        <w:rPr>
          <w:rFonts w:ascii="Arial" w:hAnsi="Arial" w:cs="Arial"/>
          <w:color w:val="000000"/>
          <w:sz w:val="22"/>
          <w:szCs w:val="22"/>
          <w:lang w:val="es-ES"/>
        </w:rPr>
        <w:t>.</w:t>
      </w:r>
    </w:p>
    <w:p w:rsidR="007302B6" w:rsidRPr="00747A6A" w:rsidRDefault="007302B6">
      <w:pPr>
        <w:pStyle w:val="PlainText"/>
        <w:spacing w:line="276" w:lineRule="auto"/>
        <w:rPr>
          <w:rFonts w:ascii="Arial" w:hAnsi="Arial" w:cs="Arial"/>
          <w:sz w:val="22"/>
          <w:szCs w:val="22"/>
        </w:rPr>
      </w:pPr>
    </w:p>
    <w:p w:rsidR="007302B6" w:rsidRPr="00747A6A" w:rsidRDefault="002A75CE">
      <w:pPr>
        <w:pStyle w:val="PlainText"/>
        <w:spacing w:line="276" w:lineRule="auto"/>
        <w:rPr>
          <w:rFonts w:ascii="Arial" w:hAnsi="Arial" w:cs="Arial"/>
          <w:sz w:val="22"/>
          <w:szCs w:val="22"/>
        </w:rPr>
      </w:pPr>
      <w:r w:rsidRPr="00747A6A">
        <w:rPr>
          <w:rFonts w:ascii="Arial" w:hAnsi="Arial" w:cs="Arial"/>
          <w:color w:val="000000"/>
          <w:sz w:val="22"/>
          <w:szCs w:val="22"/>
          <w:lang w:val="es-ES"/>
        </w:rPr>
        <w:t xml:space="preserve">“Las operadoras móviles desean trabajar en estrecha colaboración con ANATEL y la comunidad de </w:t>
      </w:r>
      <w:r w:rsidR="00CD3DB6" w:rsidRPr="00747A6A">
        <w:rPr>
          <w:rFonts w:ascii="Arial" w:hAnsi="Arial" w:cs="Arial"/>
          <w:color w:val="000000"/>
          <w:sz w:val="22"/>
          <w:szCs w:val="22"/>
          <w:lang w:val="es-ES"/>
        </w:rPr>
        <w:t xml:space="preserve">radiodifusores </w:t>
      </w:r>
      <w:r w:rsidRPr="00747A6A">
        <w:rPr>
          <w:rFonts w:ascii="Arial" w:hAnsi="Arial" w:cs="Arial"/>
          <w:color w:val="000000"/>
          <w:sz w:val="22"/>
          <w:szCs w:val="22"/>
          <w:lang w:val="es-ES"/>
        </w:rPr>
        <w:t>para explorar</w:t>
      </w:r>
      <w:r w:rsidRPr="00747A6A">
        <w:rPr>
          <w:rFonts w:ascii="Arial" w:hAnsi="Arial" w:cs="Arial"/>
          <w:sz w:val="22"/>
          <w:szCs w:val="22"/>
          <w:lang w:val="es-ES"/>
        </w:rPr>
        <w:t xml:space="preserve"> el modo como sus respectivos servicios podrán coexistir de la mejor forma y garantizar una experiencia óptima de servicios móviles LTE y de televisión por la población brasileña,</w:t>
      </w:r>
      <w:r w:rsidRPr="00747A6A">
        <w:rPr>
          <w:rFonts w:ascii="Arial" w:hAnsi="Arial" w:cs="Arial"/>
          <w:color w:val="000000"/>
          <w:sz w:val="22"/>
          <w:szCs w:val="22"/>
          <w:lang w:val="es-ES"/>
        </w:rPr>
        <w:t>” afirmó Tom Phillips, Chief Regulatory Officer de la GSMA. “A través de un riguroso modelo, el estudio muestra que una cuidadosa planificación del uso de espectro podrá mitigar la potencial interferencia entre los servicios móviles y de radiodifusión que operen próximos uno del otro.”</w:t>
      </w:r>
    </w:p>
    <w:p w:rsidR="007302B6" w:rsidRPr="00747A6A" w:rsidRDefault="007302B6">
      <w:pPr>
        <w:pStyle w:val="Padro"/>
        <w:spacing w:after="0"/>
        <w:rPr>
          <w:rFonts w:ascii="Arial" w:hAnsi="Arial" w:cs="Arial"/>
          <w:sz w:val="22"/>
          <w:szCs w:val="22"/>
        </w:rPr>
      </w:pPr>
    </w:p>
    <w:p w:rsidR="007302B6" w:rsidRPr="00747A6A" w:rsidRDefault="002A75CE">
      <w:pPr>
        <w:pStyle w:val="Padro"/>
        <w:spacing w:after="0"/>
        <w:rPr>
          <w:rFonts w:ascii="Arial" w:hAnsi="Arial" w:cs="Arial"/>
          <w:sz w:val="22"/>
          <w:szCs w:val="22"/>
        </w:rPr>
      </w:pPr>
      <w:r w:rsidRPr="00747A6A">
        <w:rPr>
          <w:rFonts w:ascii="Arial" w:hAnsi="Arial" w:cs="Arial"/>
          <w:sz w:val="22"/>
          <w:szCs w:val="22"/>
          <w:lang w:val="es-ES"/>
        </w:rPr>
        <w:t xml:space="preserve">El reporte se enfocó en las ciudades de Brasilia, Campinas y São Paulo, porque </w:t>
      </w:r>
      <w:r w:rsidRPr="00747A6A">
        <w:rPr>
          <w:rFonts w:ascii="Arial" w:hAnsi="Arial" w:cs="Arial"/>
          <w:sz w:val="22"/>
          <w:szCs w:val="22"/>
          <w:lang w:val="es-ES"/>
        </w:rPr>
        <w:lastRenderedPageBreak/>
        <w:t xml:space="preserve">probablemente serán algunas de las áreas donde una potencial interferencia en la recepción de señales de televisión y de servicios móviles podrá presentar los mayores problemas. Los potenciales problemas de interferencia deberán ser menos agudos en otras áreas y, por lo tanto, más fáciles de mitigar. La compatibilidad con las señales de televisión analógica también fue incluida en la ecuación debido a los planes de largo plazo previstos para su conversión </w:t>
      </w:r>
      <w:r w:rsidR="00CD3DB6" w:rsidRPr="00747A6A">
        <w:rPr>
          <w:rFonts w:ascii="Arial" w:hAnsi="Arial" w:cs="Arial"/>
          <w:sz w:val="22"/>
          <w:szCs w:val="22"/>
          <w:lang w:val="es-ES"/>
        </w:rPr>
        <w:t xml:space="preserve">a </w:t>
      </w:r>
      <w:r w:rsidRPr="00747A6A">
        <w:rPr>
          <w:rFonts w:ascii="Arial" w:hAnsi="Arial" w:cs="Arial"/>
          <w:sz w:val="22"/>
          <w:szCs w:val="22"/>
          <w:lang w:val="es-ES"/>
        </w:rPr>
        <w:t>señales digitales. Como la televisión</w:t>
      </w:r>
      <w:r w:rsidRPr="00747A6A">
        <w:rPr>
          <w:rFonts w:ascii="Arial" w:hAnsi="Arial" w:cs="Arial"/>
          <w:color w:val="000000"/>
          <w:sz w:val="22"/>
          <w:szCs w:val="22"/>
          <w:lang w:val="es-ES"/>
        </w:rPr>
        <w:t xml:space="preserve"> </w:t>
      </w:r>
      <w:r w:rsidRPr="00747A6A">
        <w:rPr>
          <w:rFonts w:ascii="Arial" w:hAnsi="Arial" w:cs="Arial"/>
          <w:sz w:val="22"/>
          <w:szCs w:val="22"/>
          <w:lang w:val="es-ES"/>
        </w:rPr>
        <w:t>digital e</w:t>
      </w:r>
      <w:r w:rsidRPr="00747A6A">
        <w:rPr>
          <w:rFonts w:ascii="Arial" w:hAnsi="Arial" w:cs="Arial"/>
          <w:color w:val="000000"/>
          <w:sz w:val="22"/>
          <w:szCs w:val="22"/>
          <w:lang w:val="es-ES"/>
        </w:rPr>
        <w:t xml:space="preserve">n Brasil usa la tecnología ISDB-T, este estudio también es relevante para otros mercados, incluyendo Chile, Costa Rica y Ecuador, donde el espectro del Dividendo Digital también ha sido asignado </w:t>
      </w:r>
      <w:r w:rsidR="00CD3DB6" w:rsidRPr="00747A6A">
        <w:rPr>
          <w:rFonts w:ascii="Arial" w:hAnsi="Arial" w:cs="Arial"/>
          <w:color w:val="000000"/>
          <w:sz w:val="22"/>
          <w:szCs w:val="22"/>
          <w:lang w:val="es-ES"/>
        </w:rPr>
        <w:t xml:space="preserve">a </w:t>
      </w:r>
      <w:r w:rsidRPr="00747A6A">
        <w:rPr>
          <w:rFonts w:ascii="Arial" w:hAnsi="Arial" w:cs="Arial"/>
          <w:color w:val="000000"/>
          <w:sz w:val="22"/>
          <w:szCs w:val="22"/>
          <w:lang w:val="es-ES"/>
        </w:rPr>
        <w:t>los servicios móviles.</w:t>
      </w:r>
    </w:p>
    <w:p w:rsidR="007302B6" w:rsidRPr="00747A6A" w:rsidRDefault="007302B6">
      <w:pPr>
        <w:pStyle w:val="Padro"/>
        <w:spacing w:after="0"/>
        <w:rPr>
          <w:rFonts w:ascii="Arial" w:hAnsi="Arial" w:cs="Arial"/>
          <w:sz w:val="22"/>
          <w:szCs w:val="22"/>
        </w:rPr>
      </w:pPr>
    </w:p>
    <w:p w:rsidR="007302B6" w:rsidRPr="00747A6A" w:rsidRDefault="002A75CE">
      <w:pPr>
        <w:pStyle w:val="Padro"/>
        <w:spacing w:after="0"/>
        <w:rPr>
          <w:rFonts w:ascii="Arial" w:hAnsi="Arial" w:cs="Arial"/>
          <w:sz w:val="22"/>
          <w:szCs w:val="22"/>
        </w:rPr>
      </w:pPr>
      <w:r w:rsidRPr="00747A6A">
        <w:rPr>
          <w:rFonts w:ascii="Arial" w:hAnsi="Arial" w:cs="Arial"/>
          <w:sz w:val="22"/>
          <w:szCs w:val="22"/>
          <w:lang w:val="es-ES"/>
        </w:rPr>
        <w:t xml:space="preserve">Aunque el estudio no haya sido proyectado para </w:t>
      </w:r>
      <w:r w:rsidR="00CD3DB6" w:rsidRPr="00747A6A">
        <w:rPr>
          <w:rFonts w:ascii="Arial" w:hAnsi="Arial" w:cs="Arial"/>
          <w:sz w:val="22"/>
          <w:szCs w:val="22"/>
          <w:lang w:val="es-ES"/>
        </w:rPr>
        <w:t>establecer</w:t>
      </w:r>
      <w:r w:rsidRPr="00747A6A">
        <w:rPr>
          <w:rFonts w:ascii="Arial" w:hAnsi="Arial" w:cs="Arial"/>
          <w:sz w:val="22"/>
          <w:szCs w:val="22"/>
          <w:lang w:val="es-ES"/>
        </w:rPr>
        <w:t xml:space="preserve"> una solución única y específica, ofrece un punto de vista objetivo a partir del cual las operadoras móviles y empresas de radiodifusión podrán basar sus decisiones futuras para mitigar la interferencia entre </w:t>
      </w:r>
      <w:r w:rsidR="00CD3DB6" w:rsidRPr="00747A6A">
        <w:rPr>
          <w:rFonts w:ascii="Arial" w:hAnsi="Arial" w:cs="Arial"/>
          <w:sz w:val="22"/>
          <w:szCs w:val="22"/>
          <w:lang w:val="es-ES"/>
        </w:rPr>
        <w:t xml:space="preserve">sus </w:t>
      </w:r>
      <w:r w:rsidRPr="00747A6A">
        <w:rPr>
          <w:rFonts w:ascii="Arial" w:hAnsi="Arial" w:cs="Arial"/>
          <w:sz w:val="22"/>
          <w:szCs w:val="22"/>
          <w:lang w:val="es-ES"/>
        </w:rPr>
        <w:t xml:space="preserve">sistemas. </w:t>
      </w:r>
      <w:r w:rsidR="00CD3DB6" w:rsidRPr="00747A6A">
        <w:rPr>
          <w:rFonts w:ascii="Arial" w:hAnsi="Arial" w:cs="Arial"/>
          <w:sz w:val="22"/>
          <w:szCs w:val="22"/>
          <w:lang w:val="es-ES"/>
        </w:rPr>
        <w:t>Entre las principales conclusiones del estudio, se destacan las siguientes</w:t>
      </w:r>
      <w:r w:rsidRPr="00747A6A">
        <w:rPr>
          <w:rFonts w:ascii="Arial" w:hAnsi="Arial" w:cs="Arial"/>
          <w:sz w:val="22"/>
          <w:szCs w:val="22"/>
          <w:lang w:val="es-ES"/>
        </w:rPr>
        <w:t>:</w:t>
      </w:r>
    </w:p>
    <w:p w:rsidR="007302B6" w:rsidRPr="00747A6A" w:rsidRDefault="007302B6">
      <w:pPr>
        <w:pStyle w:val="Padro"/>
        <w:spacing w:after="0"/>
        <w:rPr>
          <w:rFonts w:ascii="Arial" w:hAnsi="Arial" w:cs="Arial"/>
          <w:sz w:val="22"/>
          <w:szCs w:val="22"/>
        </w:rPr>
      </w:pPr>
    </w:p>
    <w:p w:rsidR="007302B6" w:rsidRPr="00747A6A" w:rsidRDefault="002A75CE">
      <w:pPr>
        <w:pStyle w:val="ListParagraph"/>
        <w:numPr>
          <w:ilvl w:val="0"/>
          <w:numId w:val="1"/>
        </w:numPr>
        <w:spacing w:after="120" w:line="276" w:lineRule="auto"/>
        <w:ind w:left="357" w:hanging="357"/>
        <w:rPr>
          <w:rFonts w:ascii="Arial" w:hAnsi="Arial" w:cs="Arial"/>
          <w:sz w:val="22"/>
          <w:szCs w:val="22"/>
        </w:rPr>
      </w:pPr>
      <w:r w:rsidRPr="00747A6A">
        <w:rPr>
          <w:rFonts w:ascii="Arial" w:hAnsi="Arial" w:cs="Arial"/>
          <w:sz w:val="22"/>
          <w:szCs w:val="22"/>
          <w:lang w:val="es-ES"/>
        </w:rPr>
        <w:t>La población afectada en general es pequeña, y puede ser reducida aplicándose las debidas técnicas de mitigación en las potenciales áreas de interferencia. Por ejemplo, en Brasilia y Campinas, la población que podría ser afectada es menor a 10.000 personas, y por medio de la mitigación el problema podrá ser virtualmente eliminado;</w:t>
      </w:r>
    </w:p>
    <w:p w:rsidR="007302B6" w:rsidRPr="00747A6A" w:rsidRDefault="002A75CE">
      <w:pPr>
        <w:pStyle w:val="ListParagraph"/>
        <w:numPr>
          <w:ilvl w:val="0"/>
          <w:numId w:val="1"/>
        </w:numPr>
        <w:spacing w:after="120" w:line="276" w:lineRule="auto"/>
        <w:ind w:left="357" w:hanging="357"/>
        <w:rPr>
          <w:rFonts w:ascii="Arial" w:hAnsi="Arial" w:cs="Arial"/>
          <w:sz w:val="22"/>
          <w:szCs w:val="22"/>
        </w:rPr>
      </w:pPr>
      <w:r w:rsidRPr="00747A6A">
        <w:rPr>
          <w:rFonts w:ascii="Arial" w:hAnsi="Arial" w:cs="Arial"/>
          <w:sz w:val="22"/>
          <w:szCs w:val="22"/>
          <w:lang w:val="es-ES"/>
        </w:rPr>
        <w:t xml:space="preserve">La aplicación de filtros para ambos transmisores de señales de TV ISDB-T y para las estaciones base </w:t>
      </w:r>
      <w:r w:rsidR="00CD3DB6" w:rsidRPr="00747A6A">
        <w:rPr>
          <w:rFonts w:ascii="Arial" w:hAnsi="Arial" w:cs="Arial"/>
          <w:sz w:val="22"/>
          <w:szCs w:val="22"/>
          <w:lang w:val="es-ES"/>
        </w:rPr>
        <w:t xml:space="preserve">de los servicios </w:t>
      </w:r>
      <w:r w:rsidRPr="00747A6A">
        <w:rPr>
          <w:rFonts w:ascii="Arial" w:hAnsi="Arial" w:cs="Arial"/>
          <w:sz w:val="22"/>
          <w:szCs w:val="22"/>
          <w:lang w:val="es-ES"/>
        </w:rPr>
        <w:t xml:space="preserve">móviles LTE podría ayudar a reducir significativamente la probabilidad de interferencia fuera de la banda y del bloqueo de señales; </w:t>
      </w:r>
    </w:p>
    <w:p w:rsidR="007302B6" w:rsidRPr="00747A6A" w:rsidRDefault="00CD3DB6">
      <w:pPr>
        <w:pStyle w:val="ListParagraph"/>
        <w:numPr>
          <w:ilvl w:val="0"/>
          <w:numId w:val="1"/>
        </w:numPr>
        <w:spacing w:after="120" w:line="276" w:lineRule="auto"/>
        <w:ind w:left="357" w:hanging="357"/>
        <w:rPr>
          <w:rFonts w:ascii="Arial" w:hAnsi="Arial" w:cs="Arial"/>
          <w:sz w:val="22"/>
          <w:szCs w:val="22"/>
        </w:rPr>
      </w:pPr>
      <w:r w:rsidRPr="00747A6A">
        <w:rPr>
          <w:rFonts w:ascii="Arial" w:hAnsi="Arial" w:cs="Arial"/>
          <w:sz w:val="22"/>
          <w:szCs w:val="22"/>
        </w:rPr>
        <w:t xml:space="preserve">Es muy baja </w:t>
      </w:r>
      <w:r w:rsidRPr="00747A6A">
        <w:rPr>
          <w:rFonts w:ascii="Arial" w:hAnsi="Arial" w:cs="Arial"/>
          <w:sz w:val="22"/>
          <w:szCs w:val="22"/>
          <w:lang w:val="es-ES"/>
        </w:rPr>
        <w:t xml:space="preserve">la </w:t>
      </w:r>
      <w:r w:rsidR="002A75CE" w:rsidRPr="00747A6A">
        <w:rPr>
          <w:rFonts w:ascii="Arial" w:hAnsi="Arial" w:cs="Arial"/>
          <w:sz w:val="22"/>
          <w:szCs w:val="22"/>
          <w:lang w:val="es-ES"/>
        </w:rPr>
        <w:t xml:space="preserve">probabilidad de interferencia </w:t>
      </w:r>
      <w:r w:rsidRPr="00747A6A">
        <w:rPr>
          <w:rFonts w:ascii="Arial" w:hAnsi="Arial" w:cs="Arial"/>
          <w:sz w:val="22"/>
          <w:szCs w:val="22"/>
          <w:lang w:val="es-ES"/>
        </w:rPr>
        <w:t xml:space="preserve">entre </w:t>
      </w:r>
      <w:r w:rsidR="002A75CE" w:rsidRPr="00747A6A">
        <w:rPr>
          <w:rFonts w:ascii="Arial" w:hAnsi="Arial" w:cs="Arial"/>
          <w:sz w:val="22"/>
          <w:szCs w:val="22"/>
          <w:lang w:val="es-ES"/>
        </w:rPr>
        <w:t xml:space="preserve">dispositivos LTE de consumo directo, tales como smartphones y tabletas, por </w:t>
      </w:r>
      <w:r w:rsidRPr="00747A6A">
        <w:rPr>
          <w:rFonts w:ascii="Arial" w:hAnsi="Arial" w:cs="Arial"/>
          <w:sz w:val="22"/>
          <w:szCs w:val="22"/>
          <w:lang w:val="es-ES"/>
        </w:rPr>
        <w:t>parte d</w:t>
      </w:r>
      <w:r w:rsidR="002A75CE" w:rsidRPr="00747A6A">
        <w:rPr>
          <w:rFonts w:ascii="Arial" w:hAnsi="Arial" w:cs="Arial"/>
          <w:sz w:val="22"/>
          <w:szCs w:val="22"/>
          <w:lang w:val="es-ES"/>
        </w:rPr>
        <w:t>el sistema de TV ISDB-T a partir de emisiones bloqueadoras y fuera de banda; y</w:t>
      </w:r>
    </w:p>
    <w:p w:rsidR="007302B6" w:rsidRPr="00747A6A" w:rsidRDefault="002A75CE">
      <w:pPr>
        <w:pStyle w:val="ListParagraph"/>
        <w:numPr>
          <w:ilvl w:val="0"/>
          <w:numId w:val="1"/>
        </w:numPr>
        <w:spacing w:line="276" w:lineRule="auto"/>
        <w:ind w:left="357" w:hanging="357"/>
        <w:rPr>
          <w:rFonts w:ascii="Arial" w:hAnsi="Arial" w:cs="Arial"/>
          <w:sz w:val="22"/>
          <w:szCs w:val="22"/>
        </w:rPr>
      </w:pPr>
      <w:r w:rsidRPr="00747A6A">
        <w:rPr>
          <w:rFonts w:ascii="Arial" w:hAnsi="Arial" w:cs="Arial"/>
          <w:sz w:val="22"/>
          <w:szCs w:val="22"/>
          <w:lang w:val="es-ES"/>
        </w:rPr>
        <w:t xml:space="preserve">Adoptar planes que eviten emisiones de alta potencia en los canales superiores de televisión (especialmente </w:t>
      </w:r>
      <w:r w:rsidR="00CD3DB6" w:rsidRPr="00747A6A">
        <w:rPr>
          <w:rFonts w:ascii="Arial" w:hAnsi="Arial" w:cs="Arial"/>
          <w:sz w:val="22"/>
          <w:szCs w:val="22"/>
          <w:lang w:val="es-ES"/>
        </w:rPr>
        <w:t xml:space="preserve">entre los </w:t>
      </w:r>
      <w:r w:rsidRPr="00747A6A">
        <w:rPr>
          <w:rFonts w:ascii="Arial" w:hAnsi="Arial" w:cs="Arial"/>
          <w:sz w:val="22"/>
          <w:szCs w:val="22"/>
          <w:lang w:val="es-ES"/>
        </w:rPr>
        <w:t xml:space="preserve">canales 48-51) </w:t>
      </w:r>
      <w:r w:rsidR="00CD3DB6" w:rsidRPr="00747A6A">
        <w:rPr>
          <w:rFonts w:ascii="Arial" w:hAnsi="Arial" w:cs="Arial"/>
          <w:sz w:val="22"/>
          <w:szCs w:val="22"/>
          <w:lang w:val="es-ES"/>
        </w:rPr>
        <w:t>facilitara la</w:t>
      </w:r>
      <w:r w:rsidRPr="00747A6A">
        <w:rPr>
          <w:rFonts w:ascii="Arial" w:hAnsi="Arial" w:cs="Arial"/>
          <w:sz w:val="22"/>
          <w:szCs w:val="22"/>
          <w:lang w:val="es-ES"/>
        </w:rPr>
        <w:t xml:space="preserve"> coexistencia, </w:t>
      </w:r>
      <w:r w:rsidR="00CD3DB6" w:rsidRPr="00747A6A">
        <w:rPr>
          <w:rFonts w:ascii="Arial" w:hAnsi="Arial" w:cs="Arial"/>
          <w:sz w:val="22"/>
          <w:szCs w:val="22"/>
          <w:lang w:val="es-ES"/>
        </w:rPr>
        <w:t xml:space="preserve">dado que </w:t>
      </w:r>
      <w:r w:rsidR="00B03622" w:rsidRPr="00747A6A">
        <w:rPr>
          <w:rFonts w:ascii="Arial" w:hAnsi="Arial" w:cs="Arial"/>
          <w:sz w:val="22"/>
          <w:szCs w:val="22"/>
          <w:lang w:val="es-ES"/>
        </w:rPr>
        <w:t>es mas probable que hubiera interferencia cuanto menor sea la separación entre el espectro de TV y el de LTE.</w:t>
      </w:r>
    </w:p>
    <w:p w:rsidR="007302B6" w:rsidRPr="00747A6A" w:rsidRDefault="007302B6">
      <w:pPr>
        <w:pStyle w:val="Padro"/>
        <w:spacing w:after="0"/>
        <w:rPr>
          <w:rFonts w:ascii="Arial" w:hAnsi="Arial" w:cs="Arial"/>
          <w:sz w:val="22"/>
          <w:szCs w:val="22"/>
        </w:rPr>
      </w:pPr>
    </w:p>
    <w:p w:rsidR="007302B6" w:rsidRPr="00747A6A" w:rsidRDefault="002A75CE">
      <w:pPr>
        <w:pStyle w:val="Padro"/>
        <w:spacing w:after="0"/>
        <w:rPr>
          <w:rFonts w:ascii="Arial" w:hAnsi="Arial" w:cs="Arial"/>
          <w:sz w:val="22"/>
          <w:szCs w:val="22"/>
        </w:rPr>
      </w:pPr>
      <w:r w:rsidRPr="00747A6A">
        <w:rPr>
          <w:rFonts w:ascii="Arial" w:hAnsi="Arial" w:cs="Arial"/>
          <w:sz w:val="22"/>
          <w:szCs w:val="22"/>
          <w:lang w:val="es-ES"/>
        </w:rPr>
        <w:t xml:space="preserve">“Apreciamos las preocupaciones </w:t>
      </w:r>
      <w:r w:rsidR="00B03622" w:rsidRPr="00747A6A">
        <w:rPr>
          <w:rFonts w:ascii="Arial" w:hAnsi="Arial" w:cs="Arial"/>
          <w:sz w:val="22"/>
          <w:szCs w:val="22"/>
          <w:lang w:val="es-ES"/>
        </w:rPr>
        <w:t>en relación a la</w:t>
      </w:r>
      <w:r w:rsidRPr="00747A6A">
        <w:rPr>
          <w:rFonts w:ascii="Arial" w:hAnsi="Arial" w:cs="Arial"/>
          <w:sz w:val="22"/>
          <w:szCs w:val="22"/>
          <w:lang w:val="es-ES"/>
        </w:rPr>
        <w:t xml:space="preserve"> potencial interferencia entre servicios móviles y de radiodifusión, </w:t>
      </w:r>
      <w:r w:rsidR="00B03622" w:rsidRPr="00747A6A">
        <w:rPr>
          <w:rFonts w:ascii="Arial" w:hAnsi="Arial" w:cs="Arial"/>
          <w:sz w:val="22"/>
          <w:szCs w:val="22"/>
          <w:lang w:val="es-ES"/>
        </w:rPr>
        <w:t xml:space="preserve">las cuales </w:t>
      </w:r>
      <w:r w:rsidRPr="00747A6A">
        <w:rPr>
          <w:rFonts w:ascii="Arial" w:hAnsi="Arial" w:cs="Arial"/>
          <w:sz w:val="22"/>
          <w:szCs w:val="22"/>
          <w:lang w:val="es-ES"/>
        </w:rPr>
        <w:t xml:space="preserve">buscamos abordar en este nuevo estudio,” continuó Phillips. “Sin embargo, esas preocupaciones no deberían eclipsar los innegables </w:t>
      </w:r>
      <w:r w:rsidRPr="00747A6A">
        <w:rPr>
          <w:rFonts w:ascii="Arial" w:hAnsi="Arial" w:cs="Arial"/>
          <w:color w:val="000000"/>
          <w:sz w:val="22"/>
          <w:szCs w:val="22"/>
          <w:lang w:val="es-ES"/>
        </w:rPr>
        <w:t xml:space="preserve">beneficios socioeconómicos </w:t>
      </w:r>
      <w:r w:rsidRPr="00747A6A">
        <w:rPr>
          <w:rFonts w:ascii="Arial" w:hAnsi="Arial" w:cs="Arial"/>
          <w:sz w:val="22"/>
          <w:szCs w:val="22"/>
          <w:lang w:val="es-ES"/>
        </w:rPr>
        <w:t>que proporcionará el espectro del Dividendo Digital para servicios móviles</w:t>
      </w:r>
      <w:r w:rsidRPr="00747A6A">
        <w:rPr>
          <w:rFonts w:ascii="Arial" w:hAnsi="Arial" w:cs="Arial"/>
          <w:color w:val="000000"/>
          <w:sz w:val="22"/>
          <w:szCs w:val="22"/>
          <w:lang w:val="es-ES"/>
        </w:rPr>
        <w:t xml:space="preserve">. Por medio de la mitigación, estamos trabajando para garantizar una exitosa </w:t>
      </w:r>
      <w:r w:rsidRPr="00747A6A">
        <w:rPr>
          <w:rFonts w:ascii="Arial" w:hAnsi="Arial" w:cs="Arial"/>
          <w:sz w:val="22"/>
          <w:szCs w:val="22"/>
          <w:lang w:val="es-ES"/>
        </w:rPr>
        <w:t xml:space="preserve">coexistencia entre servicios móviles LTE y de televisión </w:t>
      </w:r>
      <w:r w:rsidR="00B03622" w:rsidRPr="00747A6A">
        <w:rPr>
          <w:rFonts w:ascii="Arial" w:hAnsi="Arial" w:cs="Arial"/>
          <w:sz w:val="22"/>
          <w:szCs w:val="22"/>
          <w:lang w:val="es-ES"/>
        </w:rPr>
        <w:t xml:space="preserve">a fin de brindar los mayores beneficios a </w:t>
      </w:r>
      <w:r w:rsidRPr="00747A6A">
        <w:rPr>
          <w:rFonts w:ascii="Arial" w:hAnsi="Arial" w:cs="Arial"/>
          <w:sz w:val="22"/>
          <w:szCs w:val="22"/>
          <w:lang w:val="es-ES"/>
        </w:rPr>
        <w:t>la población brasileña.</w:t>
      </w:r>
      <w:r w:rsidRPr="00747A6A">
        <w:rPr>
          <w:rFonts w:ascii="Arial" w:hAnsi="Arial" w:cs="Arial"/>
          <w:color w:val="000000"/>
          <w:sz w:val="22"/>
          <w:szCs w:val="22"/>
          <w:lang w:val="es-ES"/>
        </w:rPr>
        <w:t>”</w:t>
      </w:r>
    </w:p>
    <w:p w:rsidR="007302B6" w:rsidRPr="00747A6A" w:rsidRDefault="007302B6">
      <w:pPr>
        <w:pStyle w:val="NormalWeb"/>
        <w:spacing w:line="276" w:lineRule="auto"/>
        <w:jc w:val="center"/>
        <w:rPr>
          <w:rFonts w:ascii="Arial" w:hAnsi="Arial" w:cs="Arial"/>
          <w:sz w:val="22"/>
          <w:szCs w:val="22"/>
        </w:rPr>
      </w:pPr>
    </w:p>
    <w:p w:rsidR="007302B6" w:rsidRPr="00747A6A" w:rsidRDefault="002A75CE">
      <w:pPr>
        <w:pStyle w:val="NormalWeb"/>
        <w:spacing w:line="276" w:lineRule="auto"/>
        <w:jc w:val="center"/>
        <w:rPr>
          <w:rFonts w:ascii="Arial" w:hAnsi="Arial" w:cs="Arial"/>
          <w:sz w:val="22"/>
          <w:szCs w:val="22"/>
        </w:rPr>
      </w:pPr>
      <w:r w:rsidRPr="00747A6A">
        <w:rPr>
          <w:rFonts w:ascii="Arial" w:hAnsi="Arial" w:cs="Arial"/>
          <w:sz w:val="22"/>
          <w:szCs w:val="22"/>
          <w:lang w:val="es-ES" w:eastAsia="en-US"/>
        </w:rPr>
        <w:t>-FIN-</w:t>
      </w:r>
    </w:p>
    <w:p w:rsidR="007302B6" w:rsidRPr="00747A6A" w:rsidRDefault="007302B6">
      <w:pPr>
        <w:pStyle w:val="NormalWeb"/>
        <w:spacing w:line="276" w:lineRule="auto"/>
        <w:rPr>
          <w:rFonts w:ascii="Arial" w:hAnsi="Arial" w:cs="Arial"/>
          <w:sz w:val="22"/>
          <w:szCs w:val="22"/>
        </w:rPr>
      </w:pPr>
    </w:p>
    <w:p w:rsidR="007302B6" w:rsidRPr="00747A6A" w:rsidRDefault="002A75CE">
      <w:pPr>
        <w:pStyle w:val="NormalWeb"/>
        <w:spacing w:line="276" w:lineRule="auto"/>
        <w:rPr>
          <w:rFonts w:ascii="Arial" w:hAnsi="Arial" w:cs="Arial"/>
          <w:b/>
          <w:sz w:val="22"/>
          <w:szCs w:val="22"/>
        </w:rPr>
      </w:pPr>
      <w:r w:rsidRPr="00747A6A">
        <w:rPr>
          <w:rFonts w:ascii="Arial" w:hAnsi="Arial" w:cs="Arial"/>
          <w:b/>
          <w:sz w:val="22"/>
          <w:szCs w:val="22"/>
          <w:lang w:val="es-ES"/>
        </w:rPr>
        <w:t>Notas a los Editores</w:t>
      </w:r>
    </w:p>
    <w:p w:rsidR="007302B6" w:rsidRPr="00747A6A" w:rsidRDefault="002A75CE">
      <w:pPr>
        <w:pStyle w:val="NormalWeb"/>
        <w:spacing w:line="276" w:lineRule="auto"/>
        <w:rPr>
          <w:rFonts w:ascii="Arial" w:hAnsi="Arial" w:cs="Arial"/>
          <w:sz w:val="22"/>
          <w:szCs w:val="22"/>
        </w:rPr>
      </w:pPr>
      <w:r w:rsidRPr="00747A6A">
        <w:rPr>
          <w:rFonts w:ascii="Arial" w:hAnsi="Arial" w:cs="Arial"/>
          <w:color w:val="000000"/>
          <w:sz w:val="22"/>
          <w:szCs w:val="22"/>
          <w:vertAlign w:val="superscript"/>
          <w:lang w:val="es-ES"/>
        </w:rPr>
        <w:t>1</w:t>
      </w:r>
      <w:r w:rsidRPr="00747A6A">
        <w:rPr>
          <w:rFonts w:ascii="Arial" w:hAnsi="Arial" w:cs="Arial"/>
          <w:color w:val="000000"/>
          <w:sz w:val="22"/>
          <w:szCs w:val="22"/>
          <w:lang w:val="es-ES"/>
        </w:rPr>
        <w:t xml:space="preserve"> </w:t>
      </w:r>
      <w:bookmarkStart w:id="1" w:name="OLE_LINK1"/>
      <w:bookmarkStart w:id="2" w:name="OLE_LINK2"/>
      <w:bookmarkEnd w:id="1"/>
      <w:bookmarkEnd w:id="2"/>
      <w:r w:rsidRPr="00747A6A">
        <w:rPr>
          <w:rFonts w:ascii="Arial" w:hAnsi="Arial" w:cs="Arial"/>
          <w:sz w:val="22"/>
          <w:szCs w:val="22"/>
          <w:lang w:val="es-ES" w:eastAsia="en-US"/>
        </w:rPr>
        <w:t>ATDI se especializa en herramientas de software, soluciones de software a medida, componentes para softwares y consultoría. Ellos son especialistas en planificación de servicios de radio, modelaje, mensuración y gestión de espectros para todas las tecnologías de radio.</w:t>
      </w:r>
    </w:p>
    <w:p w:rsidR="007302B6" w:rsidRPr="00747A6A" w:rsidRDefault="007302B6">
      <w:pPr>
        <w:pStyle w:val="Padro"/>
        <w:spacing w:after="0"/>
        <w:rPr>
          <w:rFonts w:ascii="Arial" w:hAnsi="Arial" w:cs="Arial"/>
          <w:sz w:val="22"/>
          <w:szCs w:val="22"/>
        </w:rPr>
      </w:pPr>
    </w:p>
    <w:p w:rsidR="007302B6" w:rsidRPr="00747A6A" w:rsidRDefault="002A75CE">
      <w:pPr>
        <w:pStyle w:val="Padro"/>
        <w:spacing w:after="0"/>
        <w:rPr>
          <w:rFonts w:ascii="Arial" w:hAnsi="Arial" w:cs="Arial"/>
          <w:sz w:val="22"/>
          <w:szCs w:val="22"/>
        </w:rPr>
      </w:pPr>
      <w:r w:rsidRPr="00747A6A">
        <w:rPr>
          <w:rFonts w:ascii="Arial" w:hAnsi="Arial" w:cs="Arial"/>
          <w:sz w:val="22"/>
          <w:szCs w:val="22"/>
          <w:vertAlign w:val="superscript"/>
          <w:lang w:val="es-ES"/>
        </w:rPr>
        <w:t>2</w:t>
      </w:r>
      <w:r w:rsidRPr="00747A6A">
        <w:rPr>
          <w:rFonts w:ascii="Arial" w:hAnsi="Arial" w:cs="Arial"/>
          <w:sz w:val="22"/>
          <w:szCs w:val="22"/>
          <w:lang w:val="es-ES"/>
        </w:rPr>
        <w:t xml:space="preserve"> Fuente: “</w:t>
      </w:r>
      <w:hyperlink r:id="rId6">
        <w:r w:rsidRPr="00747A6A">
          <w:rPr>
            <w:rStyle w:val="LinkdaInternet"/>
            <w:rFonts w:ascii="Arial" w:hAnsi="Arial" w:cs="Arial"/>
            <w:color w:val="0000FF"/>
            <w:sz w:val="22"/>
            <w:szCs w:val="22"/>
            <w:lang w:val="es-ES"/>
          </w:rPr>
          <w:t>Economic Benefits of the Digital Dividend for Latin America</w:t>
        </w:r>
      </w:hyperlink>
      <w:r w:rsidRPr="00747A6A">
        <w:rPr>
          <w:rFonts w:ascii="Arial" w:hAnsi="Arial" w:cs="Arial"/>
          <w:sz w:val="22"/>
          <w:szCs w:val="22"/>
          <w:lang w:val="es-ES"/>
        </w:rPr>
        <w:t>” (Beneficios Económicos del Dividendo Digital para América Latina), GSMA/Servicios de Asesoría en Telecomunicaciones, 2011</w:t>
      </w:r>
    </w:p>
    <w:p w:rsidR="007302B6" w:rsidRPr="00747A6A" w:rsidRDefault="007302B6">
      <w:pPr>
        <w:pStyle w:val="Padro"/>
        <w:spacing w:after="0"/>
        <w:rPr>
          <w:rFonts w:ascii="Arial" w:hAnsi="Arial" w:cs="Arial"/>
          <w:sz w:val="22"/>
          <w:szCs w:val="22"/>
        </w:rPr>
      </w:pPr>
    </w:p>
    <w:p w:rsidR="002A75CE" w:rsidRPr="00747A6A" w:rsidRDefault="002A75CE" w:rsidP="002A75CE">
      <w:pPr>
        <w:pStyle w:val="Padro"/>
        <w:spacing w:after="0"/>
        <w:rPr>
          <w:rFonts w:ascii="Arial" w:hAnsi="Arial" w:cs="Arial"/>
          <w:sz w:val="22"/>
          <w:szCs w:val="22"/>
          <w:lang w:val="es-ES"/>
        </w:rPr>
      </w:pPr>
      <w:r w:rsidRPr="00747A6A">
        <w:rPr>
          <w:rFonts w:ascii="Arial" w:hAnsi="Arial" w:cs="Arial"/>
          <w:b/>
          <w:sz w:val="22"/>
          <w:szCs w:val="22"/>
          <w:lang w:val="es-ES"/>
        </w:rPr>
        <w:t>Acerca de la GSMA</w:t>
      </w:r>
      <w:r w:rsidRPr="00747A6A">
        <w:rPr>
          <w:rFonts w:ascii="Arial" w:hAnsi="Arial" w:cs="Arial"/>
          <w:sz w:val="22"/>
          <w:szCs w:val="22"/>
          <w:lang w:val="es-ES"/>
        </w:rPr>
        <w:br/>
        <w:t>La GSMA representa los intereses de los operadores móviles en todo el mundo. Abarcando más de 220 países, la GSMA reúne a cerca de 800 de los operadores móviles del ámbito mundial con más de 250 compañías del ecosistema móvil, incluyendo fabricantes de teléfonos, compañías de software, proveedores de equipos y compañías de Internet, así como organizaciones en sectores tales como servicios financieros, atención a la salud, medios de comunicación, transporte y servicios públicos. La GSMA también organiza eventos líderes en el sector, tales como el Mobile World Congress y la Mobile Asia Expo.</w:t>
      </w:r>
    </w:p>
    <w:p w:rsidR="002A75CE" w:rsidRPr="00747A6A" w:rsidRDefault="002A75CE" w:rsidP="002A75CE">
      <w:pPr>
        <w:pStyle w:val="Padro"/>
        <w:spacing w:after="0"/>
        <w:rPr>
          <w:rFonts w:ascii="Arial" w:hAnsi="Arial" w:cs="Arial"/>
          <w:sz w:val="22"/>
          <w:szCs w:val="22"/>
          <w:lang w:val="es-ES"/>
        </w:rPr>
      </w:pPr>
    </w:p>
    <w:p w:rsidR="007302B6" w:rsidRPr="00747A6A" w:rsidRDefault="002A75CE" w:rsidP="002A75CE">
      <w:pPr>
        <w:pStyle w:val="Padro"/>
        <w:spacing w:after="0"/>
        <w:rPr>
          <w:rFonts w:ascii="Arial" w:hAnsi="Arial" w:cs="Arial"/>
          <w:sz w:val="22"/>
          <w:szCs w:val="22"/>
        </w:rPr>
      </w:pPr>
      <w:r w:rsidRPr="00747A6A">
        <w:rPr>
          <w:rFonts w:ascii="Arial" w:hAnsi="Arial" w:cs="Arial"/>
          <w:sz w:val="22"/>
          <w:szCs w:val="22"/>
          <w:lang w:val="es-ES"/>
        </w:rPr>
        <w:t xml:space="preserve">Por más información, visite el sitio web corporativo de la GSMA en </w:t>
      </w:r>
      <w:hyperlink r:id="rId7" w:history="1">
        <w:r w:rsidRPr="00747A6A">
          <w:rPr>
            <w:rStyle w:val="Hyperlink"/>
            <w:rFonts w:ascii="Arial" w:hAnsi="Arial" w:cs="Arial"/>
            <w:sz w:val="22"/>
            <w:szCs w:val="22"/>
            <w:lang w:val="es-ES"/>
          </w:rPr>
          <w:t>http://www.gsma.com</w:t>
        </w:r>
      </w:hyperlink>
      <w:r w:rsidRPr="00747A6A">
        <w:rPr>
          <w:rFonts w:ascii="Arial" w:hAnsi="Arial" w:cs="Arial"/>
          <w:sz w:val="22"/>
          <w:szCs w:val="22"/>
          <w:lang w:val="es-ES"/>
        </w:rPr>
        <w:t>. Siga a la GSMA en Twitter: @GSMA.</w:t>
      </w:r>
    </w:p>
    <w:p w:rsidR="007302B6" w:rsidRPr="00747A6A" w:rsidRDefault="007302B6">
      <w:pPr>
        <w:pStyle w:val="NormalWeb"/>
        <w:shd w:val="clear" w:color="auto" w:fill="FFFFFF"/>
        <w:spacing w:line="276" w:lineRule="auto"/>
        <w:textAlignment w:val="baseline"/>
        <w:rPr>
          <w:rFonts w:ascii="Arial" w:hAnsi="Arial" w:cs="Arial"/>
          <w:sz w:val="22"/>
          <w:szCs w:val="22"/>
        </w:rPr>
      </w:pPr>
    </w:p>
    <w:p w:rsidR="007302B6" w:rsidRPr="00747A6A" w:rsidRDefault="002A75CE">
      <w:pPr>
        <w:pStyle w:val="NormalWeb"/>
        <w:spacing w:line="276" w:lineRule="auto"/>
        <w:rPr>
          <w:rFonts w:ascii="Arial" w:hAnsi="Arial" w:cs="Arial"/>
          <w:sz w:val="22"/>
          <w:szCs w:val="22"/>
        </w:rPr>
      </w:pPr>
      <w:r w:rsidRPr="00747A6A">
        <w:rPr>
          <w:rFonts w:ascii="Arial" w:hAnsi="Arial" w:cs="Arial"/>
          <w:sz w:val="22"/>
          <w:szCs w:val="22"/>
          <w:lang w:val="es-ES"/>
        </w:rPr>
        <w:t xml:space="preserve">Contactos para la Prensa: </w:t>
      </w:r>
    </w:p>
    <w:p w:rsidR="007302B6" w:rsidRPr="00747A6A" w:rsidRDefault="002A75CE">
      <w:pPr>
        <w:pStyle w:val="NormalWeb"/>
        <w:shd w:val="clear" w:color="auto" w:fill="FFFFFF"/>
        <w:textAlignment w:val="baseline"/>
        <w:rPr>
          <w:rFonts w:ascii="Arial" w:hAnsi="Arial" w:cs="Arial"/>
          <w:sz w:val="22"/>
          <w:szCs w:val="22"/>
        </w:rPr>
      </w:pPr>
      <w:r w:rsidRPr="00747A6A">
        <w:rPr>
          <w:rFonts w:ascii="Arial" w:hAnsi="Arial" w:cs="Arial"/>
          <w:sz w:val="22"/>
          <w:szCs w:val="22"/>
          <w:lang w:val="es-ES"/>
        </w:rPr>
        <w:t>Tatiana Cantoni (Brasil)</w:t>
      </w:r>
    </w:p>
    <w:p w:rsidR="007302B6" w:rsidRPr="00747A6A" w:rsidRDefault="002A75CE">
      <w:pPr>
        <w:pStyle w:val="NormalWeb"/>
        <w:shd w:val="clear" w:color="auto" w:fill="FFFFFF"/>
        <w:textAlignment w:val="baseline"/>
        <w:rPr>
          <w:rFonts w:ascii="Arial" w:hAnsi="Arial" w:cs="Arial"/>
          <w:sz w:val="22"/>
          <w:szCs w:val="22"/>
        </w:rPr>
      </w:pPr>
      <w:r w:rsidRPr="00747A6A">
        <w:rPr>
          <w:rFonts w:ascii="Arial" w:hAnsi="Arial" w:cs="Arial"/>
          <w:sz w:val="22"/>
          <w:szCs w:val="22"/>
          <w:lang w:val="es-ES"/>
        </w:rPr>
        <w:t>+55 11 95210-2225</w:t>
      </w:r>
    </w:p>
    <w:p w:rsidR="007302B6" w:rsidRPr="00747A6A" w:rsidRDefault="00641332">
      <w:pPr>
        <w:pStyle w:val="NormalWeb"/>
        <w:shd w:val="clear" w:color="auto" w:fill="FFFFFF"/>
        <w:textAlignment w:val="baseline"/>
        <w:rPr>
          <w:rFonts w:ascii="Arial" w:hAnsi="Arial" w:cs="Arial"/>
          <w:sz w:val="22"/>
          <w:szCs w:val="22"/>
        </w:rPr>
      </w:pPr>
      <w:hyperlink r:id="rId8">
        <w:r w:rsidR="002A75CE" w:rsidRPr="00747A6A">
          <w:rPr>
            <w:rStyle w:val="LinkdaInternet"/>
            <w:rFonts w:ascii="Arial" w:hAnsi="Arial" w:cs="Arial"/>
            <w:color w:val="0000FF"/>
            <w:sz w:val="22"/>
            <w:szCs w:val="22"/>
            <w:lang w:val="es-ES"/>
          </w:rPr>
          <w:t>taticantoni@pimenta.com</w:t>
        </w:r>
      </w:hyperlink>
      <w:r w:rsidR="002A75CE" w:rsidRPr="00747A6A">
        <w:rPr>
          <w:rFonts w:ascii="Arial" w:hAnsi="Arial" w:cs="Arial"/>
          <w:color w:val="0000FF"/>
          <w:sz w:val="22"/>
          <w:szCs w:val="22"/>
          <w:lang w:val="es-ES"/>
        </w:rPr>
        <w:t xml:space="preserve"> </w:t>
      </w:r>
    </w:p>
    <w:p w:rsidR="007302B6" w:rsidRPr="00747A6A" w:rsidRDefault="007302B6">
      <w:pPr>
        <w:pStyle w:val="NormalWeb"/>
        <w:shd w:val="clear" w:color="auto" w:fill="FFFFFF"/>
        <w:textAlignment w:val="baseline"/>
        <w:rPr>
          <w:rFonts w:ascii="Arial" w:hAnsi="Arial" w:cs="Arial"/>
          <w:sz w:val="22"/>
          <w:szCs w:val="22"/>
        </w:rPr>
      </w:pPr>
    </w:p>
    <w:p w:rsidR="007302B6" w:rsidRPr="00747A6A" w:rsidRDefault="002A75CE">
      <w:pPr>
        <w:pStyle w:val="NormalWeb"/>
        <w:shd w:val="clear" w:color="auto" w:fill="FFFFFF"/>
        <w:textAlignment w:val="baseline"/>
        <w:rPr>
          <w:rFonts w:ascii="Arial" w:hAnsi="Arial" w:cs="Arial"/>
          <w:sz w:val="22"/>
          <w:szCs w:val="22"/>
        </w:rPr>
      </w:pPr>
      <w:r w:rsidRPr="00747A6A">
        <w:rPr>
          <w:rFonts w:ascii="Arial" w:hAnsi="Arial" w:cs="Arial"/>
          <w:sz w:val="22"/>
          <w:szCs w:val="22"/>
          <w:lang w:val="es-ES"/>
        </w:rPr>
        <w:t xml:space="preserve">Oficina de Prensa de GSMA </w:t>
      </w:r>
      <w:r w:rsidRPr="00747A6A">
        <w:rPr>
          <w:rFonts w:ascii="Arial" w:hAnsi="Arial" w:cs="Arial"/>
          <w:color w:val="2F2F2F"/>
          <w:sz w:val="22"/>
          <w:szCs w:val="22"/>
          <w:lang w:val="es-ES"/>
        </w:rPr>
        <w:br/>
      </w:r>
      <w:hyperlink r:id="rId9">
        <w:r w:rsidRPr="00747A6A">
          <w:rPr>
            <w:rStyle w:val="LinkdaInternet"/>
            <w:rFonts w:ascii="Arial" w:hAnsi="Arial" w:cs="Arial"/>
            <w:color w:val="0000FF"/>
            <w:sz w:val="22"/>
            <w:szCs w:val="22"/>
            <w:lang w:val="es-ES"/>
          </w:rPr>
          <w:t>pressoffice@gsma.com</w:t>
        </w:r>
      </w:hyperlink>
      <w:r w:rsidRPr="00747A6A">
        <w:rPr>
          <w:rFonts w:ascii="Arial" w:hAnsi="Arial" w:cs="Arial"/>
          <w:color w:val="CE0025"/>
          <w:sz w:val="22"/>
          <w:szCs w:val="22"/>
          <w:lang w:val="es-ES"/>
        </w:rPr>
        <w:t xml:space="preserve"> </w:t>
      </w:r>
    </w:p>
    <w:sectPr w:rsidR="007302B6" w:rsidRPr="00747A6A">
      <w:pgSz w:w="11906" w:h="16838"/>
      <w:pgMar w:top="1134" w:right="1134" w:bottom="1134" w:left="1134"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jaVu Sans">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F0CF9"/>
    <w:multiLevelType w:val="multilevel"/>
    <w:tmpl w:val="A05465D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69DF6C71"/>
    <w:multiLevelType w:val="multilevel"/>
    <w:tmpl w:val="E5741F46"/>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2B6"/>
    <w:rsid w:val="00175E6B"/>
    <w:rsid w:val="002A75CE"/>
    <w:rsid w:val="004B4D1D"/>
    <w:rsid w:val="00641332"/>
    <w:rsid w:val="007302B6"/>
    <w:rsid w:val="00747A6A"/>
    <w:rsid w:val="007C719C"/>
    <w:rsid w:val="00B03622"/>
    <w:rsid w:val="00CD3DB6"/>
    <w:rsid w:val="00F37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AF5691-274A-43E0-B98C-83EA0363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dro">
    <w:name w:val="Padrão"/>
    <w:pPr>
      <w:widowControl w:val="0"/>
      <w:suppressAutoHyphens/>
    </w:pPr>
    <w:rPr>
      <w:rFonts w:ascii="Times New Roman" w:eastAsia="DejaVu Sans" w:hAnsi="Times New Roman" w:cs="Lucida Sans"/>
      <w:color w:val="00000A"/>
      <w:sz w:val="24"/>
      <w:szCs w:val="24"/>
      <w:lang w:val="pt-BR" w:eastAsia="zh-CN" w:bidi="hi-IN"/>
    </w:rPr>
  </w:style>
  <w:style w:type="character" w:customStyle="1" w:styleId="ListLabel1">
    <w:name w:val="ListLabel 1"/>
    <w:rPr>
      <w:rFonts w:cs="Courier New"/>
    </w:rPr>
  </w:style>
  <w:style w:type="character" w:customStyle="1" w:styleId="LinkdaInternet">
    <w:name w:val="Link da Internet"/>
    <w:rPr>
      <w:color w:val="000080"/>
      <w:u w:val="single"/>
      <w:lang w:val="pt-BR" w:eastAsia="pt-BR" w:bidi="pt-BR"/>
    </w:rPr>
  </w:style>
  <w:style w:type="character" w:customStyle="1" w:styleId="apple-converted-space">
    <w:name w:val="apple-converted-space"/>
  </w:style>
  <w:style w:type="character" w:customStyle="1" w:styleId="ListLabel2">
    <w:name w:val="ListLabel 2"/>
    <w:rPr>
      <w:rFonts w:cs="Symbol"/>
    </w:rPr>
  </w:style>
  <w:style w:type="character" w:customStyle="1" w:styleId="ListLabel3">
    <w:name w:val="ListLabel 3"/>
    <w:rPr>
      <w:rFonts w:cs="Courier New"/>
    </w:rPr>
  </w:style>
  <w:style w:type="character" w:customStyle="1" w:styleId="ListLabel4">
    <w:name w:val="ListLabel 4"/>
    <w:rPr>
      <w:rFonts w:cs="Wingdings"/>
    </w:rPr>
  </w:style>
  <w:style w:type="paragraph" w:customStyle="1" w:styleId="Ttulo">
    <w:name w:val="Título"/>
    <w:basedOn w:val="Padro"/>
    <w:next w:val="Corpodetexto"/>
    <w:pPr>
      <w:keepNext/>
      <w:spacing w:before="240" w:after="120"/>
    </w:pPr>
    <w:rPr>
      <w:rFonts w:ascii="Arial" w:hAnsi="Arial"/>
      <w:sz w:val="28"/>
      <w:szCs w:val="28"/>
    </w:rPr>
  </w:style>
  <w:style w:type="paragraph" w:customStyle="1" w:styleId="Corpodetexto">
    <w:name w:val="Corpo de texto"/>
    <w:basedOn w:val="Padro"/>
    <w:pPr>
      <w:spacing w:after="120"/>
    </w:pPr>
  </w:style>
  <w:style w:type="paragraph" w:customStyle="1" w:styleId="Lista">
    <w:name w:val="Lista"/>
    <w:basedOn w:val="Corpodetexto"/>
  </w:style>
  <w:style w:type="paragraph" w:customStyle="1" w:styleId="Legenda">
    <w:name w:val="Legenda"/>
    <w:basedOn w:val="Padro"/>
    <w:pPr>
      <w:suppressLineNumbers/>
      <w:spacing w:before="120" w:after="120"/>
    </w:pPr>
    <w:rPr>
      <w:i/>
      <w:iCs/>
    </w:rPr>
  </w:style>
  <w:style w:type="paragraph" w:customStyle="1" w:styleId="ndice">
    <w:name w:val="Índice"/>
    <w:basedOn w:val="Padro"/>
    <w:pPr>
      <w:suppressLineNumbers/>
    </w:pPr>
  </w:style>
  <w:style w:type="paragraph" w:styleId="NormalWeb">
    <w:name w:val="Normal (Web)"/>
    <w:basedOn w:val="Padro"/>
    <w:pPr>
      <w:spacing w:before="28" w:after="28" w:line="100" w:lineRule="atLeast"/>
    </w:pPr>
    <w:rPr>
      <w:rFonts w:eastAsia="Times New Roman" w:cs="Times New Roman"/>
      <w:lang w:eastAsia="en-GB"/>
    </w:rPr>
  </w:style>
  <w:style w:type="paragraph" w:styleId="PlainText">
    <w:name w:val="Plain Text"/>
    <w:basedOn w:val="Padro"/>
    <w:pPr>
      <w:spacing w:after="0" w:line="100" w:lineRule="atLeast"/>
    </w:pPr>
    <w:rPr>
      <w:rFonts w:ascii="Calibri" w:hAnsi="Calibri"/>
      <w:sz w:val="21"/>
      <w:szCs w:val="21"/>
    </w:rPr>
  </w:style>
  <w:style w:type="paragraph" w:styleId="ListParagraph">
    <w:name w:val="List Paragraph"/>
    <w:basedOn w:val="Padro"/>
    <w:pPr>
      <w:spacing w:after="0" w:line="100" w:lineRule="atLeast"/>
      <w:ind w:left="720"/>
    </w:pPr>
    <w:rPr>
      <w:rFonts w:ascii="Calibri" w:hAnsi="Calibri" w:cs="Calibri"/>
    </w:rPr>
  </w:style>
  <w:style w:type="paragraph" w:styleId="BalloonText">
    <w:name w:val="Balloon Text"/>
    <w:basedOn w:val="Normal"/>
    <w:link w:val="BalloonTextChar"/>
    <w:uiPriority w:val="99"/>
    <w:semiHidden/>
    <w:unhideWhenUsed/>
    <w:rsid w:val="007C71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19C"/>
    <w:rPr>
      <w:rFonts w:ascii="Tahoma" w:hAnsi="Tahoma" w:cs="Tahoma"/>
      <w:sz w:val="16"/>
      <w:szCs w:val="16"/>
    </w:rPr>
  </w:style>
  <w:style w:type="character" w:styleId="Hyperlink">
    <w:name w:val="Hyperlink"/>
    <w:basedOn w:val="DefaultParagraphFont"/>
    <w:uiPriority w:val="99"/>
    <w:unhideWhenUsed/>
    <w:rsid w:val="002A75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taticantoni@pimenta.com" TargetMode="External"/><Relationship Id="rId3" Type="http://schemas.openxmlformats.org/officeDocument/2006/relationships/settings" Target="settings.xml"/><Relationship Id="rId7" Type="http://schemas.openxmlformats.org/officeDocument/2006/relationships/hyperlink" Target="http://www.gsm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sma.com/latinamerica/wp-content/uploads/2012/05/ddengexec.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essoffice@gs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5945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Mauro Accurso</dc:creator>
  <cp:lastModifiedBy>Asha Hicking</cp:lastModifiedBy>
  <cp:revision>2</cp:revision>
  <dcterms:created xsi:type="dcterms:W3CDTF">2013-12-09T14:51:00Z</dcterms:created>
  <dcterms:modified xsi:type="dcterms:W3CDTF">2013-12-09T14:51:00Z</dcterms:modified>
</cp:coreProperties>
</file>