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5040" w:rightFromText="187" w:topFromText="720" w:vertAnchor="text" w:horzAnchor="page" w:tblpXSpec="center" w:tblpY="1"/>
        <w:tblW w:w="15404" w:type="dxa"/>
        <w:tblLayout w:type="fixed"/>
        <w:tblLook w:val="04A0" w:firstRow="1" w:lastRow="0" w:firstColumn="1" w:lastColumn="0" w:noHBand="0" w:noVBand="1"/>
      </w:tblPr>
      <w:tblGrid>
        <w:gridCol w:w="1696"/>
        <w:gridCol w:w="5793"/>
        <w:gridCol w:w="728"/>
        <w:gridCol w:w="425"/>
        <w:gridCol w:w="425"/>
        <w:gridCol w:w="709"/>
        <w:gridCol w:w="5628"/>
      </w:tblGrid>
      <w:tr w:rsidR="00567552" w:rsidRPr="00D40E88" w:rsidTr="00681072">
        <w:trPr>
          <w:trHeight w:val="308"/>
          <w:tblHeader/>
        </w:trPr>
        <w:tc>
          <w:tcPr>
            <w:tcW w:w="1696" w:type="dxa"/>
            <w:vMerge w:val="restart"/>
            <w:tcBorders>
              <w:bottom w:val="double" w:sz="4" w:space="0" w:color="5B9BD5" w:themeColor="accent1"/>
            </w:tcBorders>
            <w:shd w:val="clear" w:color="auto" w:fill="BFBFBF" w:themeFill="background1" w:themeFillShade="BF"/>
          </w:tcPr>
          <w:p w:rsidR="0056340B" w:rsidRPr="00681072" w:rsidRDefault="0056340B" w:rsidP="00D40E88">
            <w:pPr>
              <w:spacing w:afterLines="40" w:after="96"/>
              <w:rPr>
                <w:rFonts w:ascii="Arial" w:hAnsi="Arial" w:cs="Arial"/>
                <w:sz w:val="18"/>
                <w:szCs w:val="20"/>
              </w:rPr>
            </w:pPr>
            <w:bookmarkStart w:id="0" w:name="_GoBack"/>
            <w:bookmarkEnd w:id="0"/>
          </w:p>
        </w:tc>
        <w:tc>
          <w:tcPr>
            <w:tcW w:w="5793" w:type="dxa"/>
            <w:vMerge w:val="restart"/>
            <w:tcBorders>
              <w:bottom w:val="double" w:sz="4" w:space="0" w:color="5B9BD5" w:themeColor="accent1"/>
            </w:tcBorders>
            <w:shd w:val="clear" w:color="auto" w:fill="BFBFBF" w:themeFill="background1" w:themeFillShade="BF"/>
            <w:vAlign w:val="center"/>
          </w:tcPr>
          <w:p w:rsidR="0056340B" w:rsidRPr="00681072" w:rsidRDefault="00FD2C41" w:rsidP="00681072">
            <w:pPr>
              <w:spacing w:afterLines="40" w:after="96"/>
              <w:rPr>
                <w:rFonts w:ascii="Arial" w:hAnsi="Arial" w:cs="Arial"/>
                <w:b/>
                <w:sz w:val="20"/>
                <w:szCs w:val="20"/>
              </w:rPr>
            </w:pPr>
            <w:r w:rsidRPr="00681072">
              <w:rPr>
                <w:rFonts w:ascii="Arial" w:hAnsi="Arial" w:cs="Arial"/>
                <w:b/>
                <w:sz w:val="20"/>
                <w:szCs w:val="20"/>
              </w:rPr>
              <w:t xml:space="preserve">RECOMMENDATIONS </w:t>
            </w:r>
          </w:p>
        </w:tc>
        <w:tc>
          <w:tcPr>
            <w:tcW w:w="2287" w:type="dxa"/>
            <w:gridSpan w:val="4"/>
            <w:tcBorders>
              <w:bottom w:val="nil"/>
            </w:tcBorders>
            <w:shd w:val="clear" w:color="auto" w:fill="BFBFBF" w:themeFill="background1" w:themeFillShade="BF"/>
            <w:vAlign w:val="center"/>
          </w:tcPr>
          <w:p w:rsidR="0056340B" w:rsidRPr="00681072" w:rsidRDefault="00FD2C41" w:rsidP="00681072">
            <w:pPr>
              <w:spacing w:afterLines="40" w:after="96"/>
              <w:jc w:val="center"/>
              <w:rPr>
                <w:rFonts w:ascii="Arial" w:hAnsi="Arial" w:cs="Arial"/>
                <w:b/>
                <w:sz w:val="20"/>
                <w:szCs w:val="20"/>
              </w:rPr>
            </w:pPr>
            <w:r w:rsidRPr="00681072">
              <w:rPr>
                <w:rFonts w:ascii="Arial" w:hAnsi="Arial" w:cs="Arial"/>
                <w:b/>
                <w:sz w:val="20"/>
                <w:szCs w:val="20"/>
              </w:rPr>
              <w:t xml:space="preserve">EFFORT </w:t>
            </w:r>
            <w:r w:rsidR="00F05ED3" w:rsidRPr="00681072">
              <w:rPr>
                <w:rFonts w:ascii="Arial" w:hAnsi="Arial" w:cs="Arial"/>
                <w:b/>
                <w:sz w:val="20"/>
                <w:szCs w:val="20"/>
              </w:rPr>
              <w:br/>
            </w:r>
            <w:r w:rsidRPr="00681072">
              <w:rPr>
                <w:rFonts w:ascii="Arial" w:hAnsi="Arial" w:cs="Arial"/>
                <w:b/>
                <w:sz w:val="20"/>
                <w:szCs w:val="20"/>
              </w:rPr>
              <w:t>(INVESTMENT &amp; TIME)</w:t>
            </w:r>
          </w:p>
        </w:tc>
        <w:tc>
          <w:tcPr>
            <w:tcW w:w="5628" w:type="dxa"/>
            <w:vMerge w:val="restart"/>
            <w:tcBorders>
              <w:bottom w:val="double" w:sz="4" w:space="0" w:color="5B9BD5" w:themeColor="accent1"/>
            </w:tcBorders>
            <w:shd w:val="clear" w:color="auto" w:fill="BFBFBF" w:themeFill="background1" w:themeFillShade="BF"/>
            <w:vAlign w:val="center"/>
          </w:tcPr>
          <w:p w:rsidR="0056340B" w:rsidRPr="00681072" w:rsidRDefault="00FD2C41" w:rsidP="00681072">
            <w:pPr>
              <w:spacing w:afterLines="40" w:after="96"/>
              <w:rPr>
                <w:rFonts w:ascii="Arial" w:hAnsi="Arial" w:cs="Arial"/>
                <w:b/>
                <w:sz w:val="20"/>
                <w:szCs w:val="20"/>
              </w:rPr>
            </w:pPr>
            <w:r w:rsidRPr="00681072">
              <w:rPr>
                <w:rFonts w:ascii="Arial" w:hAnsi="Arial" w:cs="Arial"/>
                <w:b/>
                <w:sz w:val="20"/>
                <w:szCs w:val="20"/>
              </w:rPr>
              <w:t xml:space="preserve">INVESTMENT </w:t>
            </w:r>
            <w:r w:rsidR="00D40E88" w:rsidRPr="00681072">
              <w:rPr>
                <w:rFonts w:ascii="Arial" w:hAnsi="Arial" w:cs="Arial"/>
                <w:b/>
                <w:sz w:val="20"/>
                <w:szCs w:val="20"/>
              </w:rPr>
              <w:t>&amp;</w:t>
            </w:r>
            <w:r w:rsidRPr="00681072">
              <w:rPr>
                <w:rFonts w:ascii="Arial" w:hAnsi="Arial" w:cs="Arial"/>
                <w:b/>
                <w:sz w:val="20"/>
                <w:szCs w:val="20"/>
              </w:rPr>
              <w:t xml:space="preserve"> TIME REQUIRED</w:t>
            </w:r>
          </w:p>
        </w:tc>
      </w:tr>
      <w:tr w:rsidR="00AE17AA" w:rsidRPr="00D40E88" w:rsidTr="00681072">
        <w:trPr>
          <w:trHeight w:val="305"/>
          <w:tblHeader/>
        </w:trPr>
        <w:tc>
          <w:tcPr>
            <w:tcW w:w="1696" w:type="dxa"/>
            <w:vMerge/>
            <w:tcBorders>
              <w:top w:val="nil"/>
              <w:bottom w:val="double" w:sz="4" w:space="0" w:color="auto"/>
            </w:tcBorders>
            <w:shd w:val="clear" w:color="auto" w:fill="BFBFBF" w:themeFill="background1" w:themeFillShade="BF"/>
          </w:tcPr>
          <w:p w:rsidR="00AE17AA" w:rsidRPr="00681072" w:rsidRDefault="00AE17AA" w:rsidP="00D40E88">
            <w:pPr>
              <w:spacing w:afterLines="40" w:after="96"/>
              <w:rPr>
                <w:rFonts w:ascii="Arial" w:hAnsi="Arial" w:cs="Arial"/>
                <w:sz w:val="18"/>
                <w:szCs w:val="20"/>
              </w:rPr>
            </w:pPr>
          </w:p>
        </w:tc>
        <w:tc>
          <w:tcPr>
            <w:tcW w:w="5793" w:type="dxa"/>
            <w:vMerge/>
            <w:tcBorders>
              <w:top w:val="nil"/>
              <w:bottom w:val="double" w:sz="4" w:space="0" w:color="auto"/>
            </w:tcBorders>
            <w:shd w:val="clear" w:color="auto" w:fill="BFBFBF" w:themeFill="background1" w:themeFillShade="BF"/>
          </w:tcPr>
          <w:p w:rsidR="00AE17AA" w:rsidRPr="00D40E88" w:rsidRDefault="00AE17AA" w:rsidP="00D40E88">
            <w:pPr>
              <w:spacing w:afterLines="40" w:after="96"/>
              <w:rPr>
                <w:rFonts w:ascii="Arial" w:hAnsi="Arial" w:cs="Arial"/>
                <w:sz w:val="20"/>
                <w:szCs w:val="20"/>
              </w:rPr>
            </w:pPr>
          </w:p>
        </w:tc>
        <w:tc>
          <w:tcPr>
            <w:tcW w:w="728" w:type="dxa"/>
            <w:tcBorders>
              <w:top w:val="nil"/>
              <w:bottom w:val="double" w:sz="4" w:space="0" w:color="auto"/>
            </w:tcBorders>
            <w:shd w:val="clear" w:color="auto" w:fill="FCBB2C"/>
            <w:vAlign w:val="center"/>
          </w:tcPr>
          <w:p w:rsidR="00AE17AA" w:rsidRPr="00681072" w:rsidRDefault="00AE17AA" w:rsidP="00681072">
            <w:pPr>
              <w:spacing w:afterLines="40" w:after="96"/>
              <w:jc w:val="center"/>
              <w:rPr>
                <w:rFonts w:ascii="Arial" w:hAnsi="Arial" w:cs="Arial"/>
                <w:b/>
                <w:sz w:val="14"/>
                <w:szCs w:val="20"/>
              </w:rPr>
            </w:pPr>
            <w:r w:rsidRPr="00681072">
              <w:rPr>
                <w:rFonts w:ascii="Arial" w:hAnsi="Arial" w:cs="Arial"/>
                <w:b/>
                <w:sz w:val="14"/>
                <w:szCs w:val="20"/>
              </w:rPr>
              <w:t>LOW</w:t>
            </w:r>
          </w:p>
        </w:tc>
        <w:tc>
          <w:tcPr>
            <w:tcW w:w="850" w:type="dxa"/>
            <w:gridSpan w:val="2"/>
            <w:tcBorders>
              <w:top w:val="nil"/>
              <w:bottom w:val="double" w:sz="4" w:space="0" w:color="auto"/>
            </w:tcBorders>
            <w:shd w:val="clear" w:color="auto" w:fill="FF6600"/>
            <w:vAlign w:val="center"/>
          </w:tcPr>
          <w:p w:rsidR="00AE17AA" w:rsidRPr="00681072" w:rsidRDefault="00AE17AA" w:rsidP="00681072">
            <w:pPr>
              <w:spacing w:afterLines="40" w:after="96"/>
              <w:jc w:val="center"/>
              <w:rPr>
                <w:rFonts w:ascii="Arial" w:hAnsi="Arial" w:cs="Arial"/>
                <w:b/>
                <w:sz w:val="14"/>
                <w:szCs w:val="20"/>
              </w:rPr>
            </w:pPr>
            <w:r w:rsidRPr="00681072">
              <w:rPr>
                <w:rFonts w:ascii="Arial" w:hAnsi="Arial" w:cs="Arial"/>
                <w:b/>
                <w:sz w:val="14"/>
                <w:szCs w:val="20"/>
              </w:rPr>
              <w:t>MED</w:t>
            </w:r>
          </w:p>
        </w:tc>
        <w:tc>
          <w:tcPr>
            <w:tcW w:w="709" w:type="dxa"/>
            <w:tcBorders>
              <w:top w:val="nil"/>
              <w:bottom w:val="double" w:sz="4" w:space="0" w:color="auto"/>
            </w:tcBorders>
            <w:shd w:val="clear" w:color="auto" w:fill="DE002B"/>
            <w:vAlign w:val="center"/>
          </w:tcPr>
          <w:p w:rsidR="00AE17AA" w:rsidRPr="00681072" w:rsidRDefault="00AE17AA" w:rsidP="00681072">
            <w:pPr>
              <w:spacing w:afterLines="40" w:after="96"/>
              <w:jc w:val="center"/>
              <w:rPr>
                <w:rFonts w:ascii="Arial" w:hAnsi="Arial" w:cs="Arial"/>
                <w:b/>
                <w:sz w:val="14"/>
                <w:szCs w:val="20"/>
              </w:rPr>
            </w:pPr>
            <w:r w:rsidRPr="00681072">
              <w:rPr>
                <w:rFonts w:ascii="Arial" w:hAnsi="Arial" w:cs="Arial"/>
                <w:b/>
                <w:sz w:val="14"/>
                <w:szCs w:val="20"/>
              </w:rPr>
              <w:t>HIGH</w:t>
            </w:r>
          </w:p>
        </w:tc>
        <w:tc>
          <w:tcPr>
            <w:tcW w:w="5628" w:type="dxa"/>
            <w:vMerge/>
            <w:tcBorders>
              <w:top w:val="nil"/>
              <w:bottom w:val="double" w:sz="4" w:space="0" w:color="auto"/>
            </w:tcBorders>
            <w:shd w:val="clear" w:color="auto" w:fill="BFBFBF" w:themeFill="background1" w:themeFillShade="BF"/>
          </w:tcPr>
          <w:p w:rsidR="00AE17AA" w:rsidRPr="00D40E88" w:rsidRDefault="00AE17AA" w:rsidP="00D40E88">
            <w:pPr>
              <w:spacing w:afterLines="40" w:after="96"/>
              <w:rPr>
                <w:rFonts w:ascii="Arial" w:hAnsi="Arial" w:cs="Arial"/>
                <w:sz w:val="20"/>
                <w:szCs w:val="20"/>
              </w:rPr>
            </w:pPr>
          </w:p>
        </w:tc>
      </w:tr>
      <w:tr w:rsidR="0056340B" w:rsidRPr="00D40E88" w:rsidTr="00681072">
        <w:trPr>
          <w:trHeight w:val="1954"/>
          <w:tblHeader/>
        </w:trPr>
        <w:tc>
          <w:tcPr>
            <w:tcW w:w="1696" w:type="dxa"/>
            <w:vMerge w:val="restart"/>
            <w:tcBorders>
              <w:top w:val="double" w:sz="4" w:space="0" w:color="auto"/>
            </w:tcBorders>
            <w:vAlign w:val="center"/>
          </w:tcPr>
          <w:p w:rsidR="0056340B" w:rsidRPr="00681072" w:rsidRDefault="00D40E88" w:rsidP="00771987">
            <w:pPr>
              <w:spacing w:afterLines="40" w:after="96"/>
              <w:rPr>
                <w:rFonts w:ascii="Arial" w:hAnsi="Arial" w:cs="Arial"/>
                <w:b/>
                <w:sz w:val="18"/>
                <w:szCs w:val="20"/>
              </w:rPr>
            </w:pPr>
            <w:r w:rsidRPr="00681072">
              <w:rPr>
                <w:rFonts w:ascii="Arial" w:hAnsi="Arial" w:cs="Arial"/>
                <w:b/>
                <w:sz w:val="18"/>
                <w:szCs w:val="20"/>
              </w:rPr>
              <w:t>ALTERNATIVE REVENUE STREAMS</w:t>
            </w:r>
          </w:p>
        </w:tc>
        <w:tc>
          <w:tcPr>
            <w:tcW w:w="5793" w:type="dxa"/>
            <w:tcBorders>
              <w:top w:val="double" w:sz="4" w:space="0" w:color="auto"/>
            </w:tcBorders>
          </w:tcPr>
          <w:p w:rsidR="0056340B" w:rsidRPr="00634138" w:rsidRDefault="0056340B" w:rsidP="00634138">
            <w:pPr>
              <w:pStyle w:val="ListParagraph"/>
              <w:numPr>
                <w:ilvl w:val="0"/>
                <w:numId w:val="3"/>
              </w:numPr>
              <w:spacing w:afterLines="40" w:after="96"/>
              <w:rPr>
                <w:rFonts w:ascii="Arial" w:hAnsi="Arial" w:cs="Arial"/>
                <w:sz w:val="20"/>
                <w:szCs w:val="20"/>
              </w:rPr>
            </w:pPr>
            <w:r w:rsidRPr="00634138">
              <w:rPr>
                <w:rFonts w:ascii="Arial" w:hAnsi="Arial" w:cs="Arial"/>
                <w:sz w:val="20"/>
                <w:szCs w:val="20"/>
              </w:rPr>
              <w:t>Providers can allow agents to use their float to cross-sell electronic airtime and earn commissions from this as an additional revenue stream. This suggestion is informed by the fact that mobile operators have the opportunity to push airtime sales via mobile money, but most users may still not be comfortable doing so without assistance. Operators therefore gain from cost reduction of distribution of physical vouchers and also drive awareness of mobi</w:t>
            </w:r>
            <w:r w:rsidR="00D40E88" w:rsidRPr="00634138">
              <w:rPr>
                <w:rFonts w:ascii="Arial" w:hAnsi="Arial" w:cs="Arial"/>
                <w:sz w:val="20"/>
                <w:szCs w:val="20"/>
              </w:rPr>
              <w:t>le money services to customers.</w:t>
            </w:r>
          </w:p>
        </w:tc>
        <w:tc>
          <w:tcPr>
            <w:tcW w:w="2287" w:type="dxa"/>
            <w:gridSpan w:val="4"/>
            <w:tcBorders>
              <w:top w:val="double" w:sz="4" w:space="0" w:color="auto"/>
            </w:tcBorders>
            <w:shd w:val="clear" w:color="auto" w:fill="FCBB2C"/>
          </w:tcPr>
          <w:p w:rsidR="0056340B" w:rsidRPr="00D40E88" w:rsidRDefault="0056340B" w:rsidP="00D40E88">
            <w:pPr>
              <w:spacing w:afterLines="40" w:after="96"/>
              <w:rPr>
                <w:rFonts w:ascii="Arial" w:hAnsi="Arial" w:cs="Arial"/>
                <w:sz w:val="20"/>
                <w:szCs w:val="20"/>
              </w:rPr>
            </w:pPr>
          </w:p>
        </w:tc>
        <w:tc>
          <w:tcPr>
            <w:tcW w:w="5628" w:type="dxa"/>
            <w:tcBorders>
              <w:top w:val="double" w:sz="4" w:space="0" w:color="auto"/>
            </w:tcBorders>
          </w:tcPr>
          <w:p w:rsidR="0056340B" w:rsidRPr="00D40E88" w:rsidRDefault="0056340B" w:rsidP="00D40E88">
            <w:pPr>
              <w:spacing w:afterLines="40" w:after="96"/>
              <w:rPr>
                <w:rFonts w:ascii="Arial" w:hAnsi="Arial" w:cs="Arial"/>
                <w:sz w:val="20"/>
                <w:szCs w:val="20"/>
              </w:rPr>
            </w:pPr>
            <w:r w:rsidRPr="00D40E88">
              <w:rPr>
                <w:rFonts w:ascii="Arial" w:hAnsi="Arial" w:cs="Arial"/>
                <w:sz w:val="20"/>
                <w:szCs w:val="20"/>
              </w:rPr>
              <w:t>The effort here is minimal and could take less than a month to implement with minimal investment</w:t>
            </w:r>
            <w:r w:rsidR="00227D72">
              <w:rPr>
                <w:rFonts w:ascii="Arial" w:hAnsi="Arial" w:cs="Arial"/>
                <w:sz w:val="20"/>
                <w:szCs w:val="20"/>
              </w:rPr>
              <w:t>,</w:t>
            </w:r>
            <w:r w:rsidRPr="00D40E88">
              <w:rPr>
                <w:rFonts w:ascii="Arial" w:hAnsi="Arial" w:cs="Arial"/>
                <w:sz w:val="20"/>
                <w:szCs w:val="20"/>
              </w:rPr>
              <w:t xml:space="preserve"> except in communication to </w:t>
            </w:r>
            <w:r w:rsidR="00227D72">
              <w:rPr>
                <w:rFonts w:ascii="Arial" w:hAnsi="Arial" w:cs="Arial"/>
                <w:sz w:val="20"/>
                <w:szCs w:val="20"/>
              </w:rPr>
              <w:t>a</w:t>
            </w:r>
            <w:r w:rsidRPr="00D40E88">
              <w:rPr>
                <w:rFonts w:ascii="Arial" w:hAnsi="Arial" w:cs="Arial"/>
                <w:sz w:val="20"/>
                <w:szCs w:val="20"/>
              </w:rPr>
              <w:t xml:space="preserve">gents on how </w:t>
            </w:r>
            <w:r w:rsidR="00227D72">
              <w:rPr>
                <w:rFonts w:ascii="Arial" w:hAnsi="Arial" w:cs="Arial"/>
                <w:sz w:val="20"/>
                <w:szCs w:val="20"/>
              </w:rPr>
              <w:t>the</w:t>
            </w:r>
            <w:r w:rsidRPr="00D40E88">
              <w:rPr>
                <w:rFonts w:ascii="Arial" w:hAnsi="Arial" w:cs="Arial"/>
                <w:sz w:val="20"/>
                <w:szCs w:val="20"/>
              </w:rPr>
              <w:t xml:space="preserve"> new system would work and also on </w:t>
            </w:r>
            <w:r w:rsidR="00227D72">
              <w:rPr>
                <w:rFonts w:ascii="Arial" w:hAnsi="Arial" w:cs="Arial"/>
                <w:sz w:val="20"/>
                <w:szCs w:val="20"/>
              </w:rPr>
              <w:t>secure</w:t>
            </w:r>
            <w:r w:rsidRPr="00D40E88">
              <w:rPr>
                <w:rFonts w:ascii="Arial" w:hAnsi="Arial" w:cs="Arial"/>
                <w:sz w:val="20"/>
                <w:szCs w:val="20"/>
              </w:rPr>
              <w:t xml:space="preserve"> processes to avoid losses due to fraud.</w:t>
            </w:r>
          </w:p>
          <w:p w:rsidR="0056340B" w:rsidRPr="00D40E88" w:rsidRDefault="0056340B" w:rsidP="00D40E88">
            <w:pPr>
              <w:spacing w:afterLines="40" w:after="96"/>
              <w:rPr>
                <w:rFonts w:ascii="Arial" w:hAnsi="Arial" w:cs="Arial"/>
                <w:sz w:val="20"/>
                <w:szCs w:val="20"/>
              </w:rPr>
            </w:pPr>
            <w:r w:rsidRPr="00D40E88">
              <w:rPr>
                <w:rFonts w:ascii="Arial" w:hAnsi="Arial" w:cs="Arial"/>
                <w:sz w:val="20"/>
                <w:szCs w:val="20"/>
              </w:rPr>
              <w:t xml:space="preserve">However, mobile money providers will need to consider the risk of increased airtime commission costs, and therefore ensure that there is a balance in the way the benefits are realised. </w:t>
            </w:r>
          </w:p>
        </w:tc>
      </w:tr>
      <w:tr w:rsidR="0056340B" w:rsidRPr="00D40E88" w:rsidTr="00681072">
        <w:trPr>
          <w:trHeight w:val="2616"/>
          <w:tblHeader/>
        </w:trPr>
        <w:tc>
          <w:tcPr>
            <w:tcW w:w="1696" w:type="dxa"/>
            <w:vMerge/>
          </w:tcPr>
          <w:p w:rsidR="0056340B" w:rsidRPr="00681072" w:rsidRDefault="0056340B" w:rsidP="00D40E88">
            <w:pPr>
              <w:spacing w:afterLines="40" w:after="96"/>
              <w:rPr>
                <w:rFonts w:ascii="Arial" w:hAnsi="Arial" w:cs="Arial"/>
                <w:sz w:val="18"/>
                <w:szCs w:val="20"/>
              </w:rPr>
            </w:pPr>
          </w:p>
        </w:tc>
        <w:tc>
          <w:tcPr>
            <w:tcW w:w="5793" w:type="dxa"/>
          </w:tcPr>
          <w:p w:rsidR="0056340B" w:rsidRDefault="0056340B" w:rsidP="00634138">
            <w:pPr>
              <w:pStyle w:val="ListParagraph"/>
              <w:numPr>
                <w:ilvl w:val="0"/>
                <w:numId w:val="3"/>
              </w:numPr>
              <w:spacing w:afterLines="40" w:after="96"/>
              <w:rPr>
                <w:rFonts w:ascii="Arial" w:hAnsi="Arial" w:cs="Arial"/>
                <w:sz w:val="20"/>
                <w:szCs w:val="20"/>
              </w:rPr>
            </w:pPr>
            <w:r w:rsidRPr="00634138">
              <w:rPr>
                <w:rFonts w:ascii="Arial" w:hAnsi="Arial" w:cs="Arial"/>
                <w:sz w:val="20"/>
                <w:szCs w:val="20"/>
              </w:rPr>
              <w:t xml:space="preserve">Mobile money providers can reward </w:t>
            </w:r>
            <w:r w:rsidR="00227D72">
              <w:rPr>
                <w:rFonts w:ascii="Arial" w:hAnsi="Arial" w:cs="Arial"/>
                <w:sz w:val="20"/>
                <w:szCs w:val="20"/>
              </w:rPr>
              <w:t>a</w:t>
            </w:r>
            <w:r w:rsidRPr="00634138">
              <w:rPr>
                <w:rFonts w:ascii="Arial" w:hAnsi="Arial" w:cs="Arial"/>
                <w:sz w:val="20"/>
                <w:szCs w:val="20"/>
              </w:rPr>
              <w:t>gents for partner account acquisition: to recruit strategic partners who would accept both bulk payment and utility/bill payments via mobile money. The provider can choose to apply:</w:t>
            </w:r>
          </w:p>
          <w:p w:rsidR="00F05ED3" w:rsidRDefault="0056340B" w:rsidP="00D40E88">
            <w:pPr>
              <w:pStyle w:val="ListParagraph"/>
              <w:numPr>
                <w:ilvl w:val="1"/>
                <w:numId w:val="3"/>
              </w:numPr>
              <w:spacing w:afterLines="40" w:after="96"/>
              <w:rPr>
                <w:rFonts w:ascii="Arial" w:hAnsi="Arial" w:cs="Arial"/>
                <w:sz w:val="20"/>
                <w:szCs w:val="20"/>
              </w:rPr>
            </w:pPr>
            <w:r w:rsidRPr="00F05ED3">
              <w:rPr>
                <w:rFonts w:ascii="Arial" w:hAnsi="Arial" w:cs="Arial"/>
                <w:sz w:val="20"/>
                <w:szCs w:val="20"/>
              </w:rPr>
              <w:t xml:space="preserve">a one-time payment for each account acquired and on-boarded successfully </w:t>
            </w:r>
          </w:p>
          <w:p w:rsidR="0056340B" w:rsidRPr="00F05ED3" w:rsidRDefault="0056340B" w:rsidP="00D40E88">
            <w:pPr>
              <w:pStyle w:val="ListParagraph"/>
              <w:numPr>
                <w:ilvl w:val="1"/>
                <w:numId w:val="3"/>
              </w:numPr>
              <w:spacing w:afterLines="40" w:after="96"/>
              <w:rPr>
                <w:rFonts w:ascii="Arial" w:hAnsi="Arial" w:cs="Arial"/>
                <w:sz w:val="20"/>
                <w:szCs w:val="20"/>
              </w:rPr>
            </w:pPr>
            <w:proofErr w:type="gramStart"/>
            <w:r w:rsidRPr="00F05ED3">
              <w:rPr>
                <w:rFonts w:ascii="Arial" w:hAnsi="Arial" w:cs="Arial"/>
                <w:sz w:val="20"/>
                <w:szCs w:val="20"/>
              </w:rPr>
              <w:t>a</w:t>
            </w:r>
            <w:proofErr w:type="gramEnd"/>
            <w:r w:rsidRPr="00F05ED3">
              <w:rPr>
                <w:rFonts w:ascii="Arial" w:hAnsi="Arial" w:cs="Arial"/>
                <w:sz w:val="20"/>
                <w:szCs w:val="20"/>
              </w:rPr>
              <w:t xml:space="preserve"> residual ongoing commission spread out over a fixed period. The advantage of this is that it motivates the agent and helps the provider to pass the ‘relationship management’ role to the agent, and extends the MNO’s reach. </w:t>
            </w:r>
          </w:p>
        </w:tc>
        <w:tc>
          <w:tcPr>
            <w:tcW w:w="2287" w:type="dxa"/>
            <w:gridSpan w:val="4"/>
            <w:shd w:val="clear" w:color="auto" w:fill="FF6600"/>
          </w:tcPr>
          <w:p w:rsidR="0056340B" w:rsidRPr="00D40E88" w:rsidRDefault="0056340B" w:rsidP="00D40E88">
            <w:pPr>
              <w:spacing w:afterLines="40" w:after="96"/>
              <w:rPr>
                <w:rFonts w:ascii="Arial" w:hAnsi="Arial" w:cs="Arial"/>
                <w:sz w:val="20"/>
                <w:szCs w:val="20"/>
              </w:rPr>
            </w:pPr>
          </w:p>
        </w:tc>
        <w:tc>
          <w:tcPr>
            <w:tcW w:w="5628" w:type="dxa"/>
          </w:tcPr>
          <w:p w:rsidR="0056340B" w:rsidRPr="00D40E88" w:rsidRDefault="0056340B" w:rsidP="00D40E88">
            <w:pPr>
              <w:spacing w:afterLines="40" w:after="96"/>
              <w:rPr>
                <w:rFonts w:ascii="Arial" w:hAnsi="Arial" w:cs="Arial"/>
                <w:sz w:val="20"/>
                <w:szCs w:val="20"/>
              </w:rPr>
            </w:pPr>
            <w:r w:rsidRPr="00D40E88">
              <w:rPr>
                <w:rFonts w:ascii="Arial" w:hAnsi="Arial" w:cs="Arial"/>
                <w:sz w:val="20"/>
                <w:szCs w:val="20"/>
              </w:rPr>
              <w:t xml:space="preserve">This may take a lot more time to implement </w:t>
            </w:r>
            <w:r w:rsidR="00227D72" w:rsidRPr="00D40E88">
              <w:rPr>
                <w:rFonts w:ascii="Arial" w:hAnsi="Arial" w:cs="Arial"/>
                <w:sz w:val="20"/>
                <w:szCs w:val="20"/>
              </w:rPr>
              <w:t>(</w:t>
            </w:r>
            <w:r w:rsidR="00227D72">
              <w:rPr>
                <w:rFonts w:ascii="Arial" w:hAnsi="Arial" w:cs="Arial"/>
                <w:sz w:val="20"/>
                <w:szCs w:val="20"/>
              </w:rPr>
              <w:t xml:space="preserve">approximately </w:t>
            </w:r>
            <w:r w:rsidRPr="00D40E88">
              <w:rPr>
                <w:rFonts w:ascii="Arial" w:hAnsi="Arial" w:cs="Arial"/>
                <w:sz w:val="20"/>
                <w:szCs w:val="20"/>
              </w:rPr>
              <w:t xml:space="preserve">1 – 3 months) to allow a business case to justify additional commissions. </w:t>
            </w:r>
          </w:p>
          <w:p w:rsidR="0056340B" w:rsidRPr="00D40E88" w:rsidRDefault="0056340B" w:rsidP="00D40E88">
            <w:pPr>
              <w:spacing w:afterLines="40" w:after="96"/>
              <w:rPr>
                <w:rFonts w:ascii="Arial" w:hAnsi="Arial" w:cs="Arial"/>
                <w:sz w:val="20"/>
                <w:szCs w:val="20"/>
              </w:rPr>
            </w:pPr>
            <w:r w:rsidRPr="00D40E88">
              <w:rPr>
                <w:rFonts w:ascii="Arial" w:hAnsi="Arial" w:cs="Arial"/>
                <w:sz w:val="20"/>
                <w:szCs w:val="20"/>
              </w:rPr>
              <w:t xml:space="preserve">The business case should be able to demonstrate that the recruited accounts will bring ROI made on commissions paid within the shortest time. </w:t>
            </w:r>
          </w:p>
          <w:p w:rsidR="0056340B" w:rsidRPr="00D40E88" w:rsidRDefault="0056340B" w:rsidP="00D40E88">
            <w:pPr>
              <w:spacing w:afterLines="40" w:after="96"/>
              <w:rPr>
                <w:rFonts w:ascii="Arial" w:hAnsi="Arial" w:cs="Arial"/>
                <w:sz w:val="20"/>
                <w:szCs w:val="20"/>
              </w:rPr>
            </w:pPr>
            <w:r w:rsidRPr="00D40E88">
              <w:rPr>
                <w:rFonts w:ascii="Arial" w:hAnsi="Arial" w:cs="Arial"/>
                <w:sz w:val="20"/>
                <w:szCs w:val="20"/>
              </w:rPr>
              <w:t xml:space="preserve">The provider should therefore be very clear about the calibre of accounts to be recruited to target these for earlier acquisition in order to realize ROI faster. </w:t>
            </w:r>
          </w:p>
        </w:tc>
      </w:tr>
      <w:tr w:rsidR="0056340B" w:rsidRPr="00D40E88" w:rsidTr="00681072">
        <w:trPr>
          <w:trHeight w:val="701"/>
          <w:tblHeader/>
        </w:trPr>
        <w:tc>
          <w:tcPr>
            <w:tcW w:w="1696" w:type="dxa"/>
            <w:vMerge/>
          </w:tcPr>
          <w:p w:rsidR="0056340B" w:rsidRPr="00681072" w:rsidRDefault="0056340B" w:rsidP="00D40E88">
            <w:pPr>
              <w:spacing w:afterLines="40" w:after="96"/>
              <w:rPr>
                <w:rFonts w:ascii="Arial" w:hAnsi="Arial" w:cs="Arial"/>
                <w:sz w:val="18"/>
                <w:szCs w:val="20"/>
              </w:rPr>
            </w:pPr>
          </w:p>
        </w:tc>
        <w:tc>
          <w:tcPr>
            <w:tcW w:w="5793" w:type="dxa"/>
          </w:tcPr>
          <w:p w:rsidR="0056340B" w:rsidRPr="00F05ED3" w:rsidRDefault="0056340B" w:rsidP="00F05ED3">
            <w:pPr>
              <w:pStyle w:val="ListParagraph"/>
              <w:numPr>
                <w:ilvl w:val="0"/>
                <w:numId w:val="3"/>
              </w:numPr>
              <w:spacing w:afterLines="40" w:after="96"/>
              <w:rPr>
                <w:rFonts w:ascii="Arial" w:hAnsi="Arial" w:cs="Arial"/>
                <w:sz w:val="20"/>
                <w:szCs w:val="20"/>
              </w:rPr>
            </w:pPr>
            <w:r w:rsidRPr="00F05ED3">
              <w:rPr>
                <w:rFonts w:ascii="Arial" w:hAnsi="Arial" w:cs="Arial"/>
                <w:sz w:val="20"/>
                <w:szCs w:val="20"/>
              </w:rPr>
              <w:t xml:space="preserve">Mobile money providers can also allow agents to earn commissions for resolving complex customer escalations. </w:t>
            </w:r>
          </w:p>
        </w:tc>
        <w:tc>
          <w:tcPr>
            <w:tcW w:w="2287" w:type="dxa"/>
            <w:gridSpan w:val="4"/>
            <w:shd w:val="clear" w:color="auto" w:fill="DE002B"/>
          </w:tcPr>
          <w:p w:rsidR="0056340B" w:rsidRPr="00D40E88" w:rsidRDefault="0056340B" w:rsidP="00D40E88">
            <w:pPr>
              <w:spacing w:afterLines="40" w:after="96"/>
              <w:rPr>
                <w:rFonts w:ascii="Arial" w:hAnsi="Arial" w:cs="Arial"/>
                <w:sz w:val="20"/>
                <w:szCs w:val="20"/>
              </w:rPr>
            </w:pPr>
          </w:p>
        </w:tc>
        <w:tc>
          <w:tcPr>
            <w:tcW w:w="5628" w:type="dxa"/>
          </w:tcPr>
          <w:p w:rsidR="0056340B" w:rsidRPr="00D40E88" w:rsidRDefault="0056340B" w:rsidP="00771987">
            <w:pPr>
              <w:spacing w:afterLines="40" w:after="96"/>
              <w:rPr>
                <w:rFonts w:ascii="Arial" w:hAnsi="Arial" w:cs="Arial"/>
                <w:sz w:val="20"/>
                <w:szCs w:val="20"/>
              </w:rPr>
            </w:pPr>
            <w:r w:rsidRPr="00D40E88">
              <w:rPr>
                <w:rFonts w:ascii="Arial" w:hAnsi="Arial" w:cs="Arial"/>
                <w:sz w:val="20"/>
                <w:szCs w:val="20"/>
              </w:rPr>
              <w:t xml:space="preserve">This would require a huge investment in systems, training and close supervision to ensure adherence to set quality standards for dispute resolution. </w:t>
            </w:r>
          </w:p>
        </w:tc>
      </w:tr>
      <w:tr w:rsidR="0056340B" w:rsidRPr="00D40E88" w:rsidTr="00681072">
        <w:trPr>
          <w:trHeight w:val="1970"/>
          <w:tblHeader/>
        </w:trPr>
        <w:tc>
          <w:tcPr>
            <w:tcW w:w="1696" w:type="dxa"/>
            <w:vMerge/>
            <w:tcBorders>
              <w:bottom w:val="double" w:sz="4" w:space="0" w:color="auto"/>
            </w:tcBorders>
          </w:tcPr>
          <w:p w:rsidR="0056340B" w:rsidRPr="00681072" w:rsidRDefault="0056340B" w:rsidP="00D40E88">
            <w:pPr>
              <w:spacing w:afterLines="40" w:after="96"/>
              <w:rPr>
                <w:rFonts w:ascii="Arial" w:hAnsi="Arial" w:cs="Arial"/>
                <w:sz w:val="18"/>
                <w:szCs w:val="20"/>
              </w:rPr>
            </w:pPr>
          </w:p>
        </w:tc>
        <w:tc>
          <w:tcPr>
            <w:tcW w:w="5793" w:type="dxa"/>
            <w:tcBorders>
              <w:bottom w:val="double" w:sz="4" w:space="0" w:color="auto"/>
            </w:tcBorders>
          </w:tcPr>
          <w:p w:rsidR="0056340B" w:rsidRPr="00F05ED3" w:rsidRDefault="0056340B" w:rsidP="00227D72">
            <w:pPr>
              <w:pStyle w:val="ListParagraph"/>
              <w:numPr>
                <w:ilvl w:val="0"/>
                <w:numId w:val="3"/>
              </w:numPr>
              <w:spacing w:afterLines="40" w:after="96"/>
              <w:rPr>
                <w:rFonts w:ascii="Arial" w:hAnsi="Arial" w:cs="Arial"/>
                <w:sz w:val="20"/>
                <w:szCs w:val="20"/>
              </w:rPr>
            </w:pPr>
            <w:r w:rsidRPr="00F05ED3">
              <w:rPr>
                <w:rFonts w:ascii="Arial" w:hAnsi="Arial" w:cs="Arial"/>
                <w:sz w:val="20"/>
                <w:szCs w:val="20"/>
              </w:rPr>
              <w:t xml:space="preserve">For a few agents who demonstrate capacity and ability to expand their portfolio, the MNO can co-sign their </w:t>
            </w:r>
            <w:r w:rsidR="00227D72">
              <w:rPr>
                <w:rFonts w:ascii="Arial" w:hAnsi="Arial" w:cs="Arial"/>
                <w:sz w:val="20"/>
                <w:szCs w:val="20"/>
              </w:rPr>
              <w:t>a</w:t>
            </w:r>
            <w:r w:rsidRPr="00F05ED3">
              <w:rPr>
                <w:rFonts w:ascii="Arial" w:hAnsi="Arial" w:cs="Arial"/>
                <w:sz w:val="20"/>
                <w:szCs w:val="20"/>
              </w:rPr>
              <w:t xml:space="preserve">gents to offer other proximity services that require high customer contact but which are seen as complementing rather than competing with mobile money services, such as banking (for account opening, credit services) insurance, government services, utility services, </w:t>
            </w:r>
            <w:r w:rsidR="00227D72">
              <w:rPr>
                <w:rFonts w:ascii="Arial" w:hAnsi="Arial" w:cs="Arial"/>
                <w:sz w:val="20"/>
                <w:szCs w:val="20"/>
              </w:rPr>
              <w:t>international money transfers,</w:t>
            </w:r>
            <w:r w:rsidRPr="00F05ED3">
              <w:rPr>
                <w:rFonts w:ascii="Arial" w:hAnsi="Arial" w:cs="Arial"/>
                <w:sz w:val="20"/>
                <w:szCs w:val="20"/>
              </w:rPr>
              <w:t xml:space="preserve"> etc. </w:t>
            </w:r>
          </w:p>
        </w:tc>
        <w:tc>
          <w:tcPr>
            <w:tcW w:w="2287" w:type="dxa"/>
            <w:gridSpan w:val="4"/>
            <w:tcBorders>
              <w:bottom w:val="double" w:sz="4" w:space="0" w:color="auto"/>
            </w:tcBorders>
            <w:shd w:val="clear" w:color="auto" w:fill="FF6600"/>
          </w:tcPr>
          <w:p w:rsidR="0056340B" w:rsidRPr="00D40E88" w:rsidRDefault="0056340B" w:rsidP="00D40E88">
            <w:pPr>
              <w:spacing w:afterLines="40" w:after="96"/>
              <w:rPr>
                <w:rFonts w:ascii="Arial" w:hAnsi="Arial" w:cs="Arial"/>
                <w:sz w:val="20"/>
                <w:szCs w:val="20"/>
              </w:rPr>
            </w:pPr>
          </w:p>
        </w:tc>
        <w:tc>
          <w:tcPr>
            <w:tcW w:w="5628" w:type="dxa"/>
            <w:tcBorders>
              <w:bottom w:val="double" w:sz="4" w:space="0" w:color="auto"/>
            </w:tcBorders>
          </w:tcPr>
          <w:p w:rsidR="00655840" w:rsidRDefault="0056340B" w:rsidP="00D40E88">
            <w:pPr>
              <w:spacing w:afterLines="40" w:after="96"/>
              <w:rPr>
                <w:rFonts w:ascii="Arial" w:hAnsi="Arial" w:cs="Arial"/>
                <w:sz w:val="20"/>
                <w:szCs w:val="20"/>
              </w:rPr>
            </w:pPr>
            <w:r w:rsidRPr="00D40E88">
              <w:rPr>
                <w:rFonts w:ascii="Arial" w:hAnsi="Arial" w:cs="Arial"/>
                <w:sz w:val="20"/>
                <w:szCs w:val="20"/>
              </w:rPr>
              <w:t xml:space="preserve">There are several ways of doing this: the provider may opt to charge the organisation using the agent network an ongoing transactional commission for its services, adopt a revenue share model, or maximize on increased transactions on mobile money. </w:t>
            </w:r>
          </w:p>
          <w:p w:rsidR="0056340B" w:rsidRPr="00D40E88" w:rsidRDefault="0056340B" w:rsidP="00D40E88">
            <w:pPr>
              <w:spacing w:afterLines="40" w:after="96"/>
              <w:rPr>
                <w:rFonts w:ascii="Arial" w:hAnsi="Arial" w:cs="Arial"/>
                <w:sz w:val="20"/>
                <w:szCs w:val="20"/>
              </w:rPr>
            </w:pPr>
            <w:r w:rsidRPr="00D40E88">
              <w:rPr>
                <w:rFonts w:ascii="Arial" w:hAnsi="Arial" w:cs="Arial"/>
                <w:sz w:val="20"/>
                <w:szCs w:val="20"/>
              </w:rPr>
              <w:t xml:space="preserve">However, regulatory controls may limit how this is implemented due to rules imposed on exclusivity. </w:t>
            </w:r>
          </w:p>
        </w:tc>
      </w:tr>
      <w:tr w:rsidR="0056340B" w:rsidRPr="00D40E88" w:rsidTr="00681072">
        <w:trPr>
          <w:trHeight w:val="3937"/>
          <w:tblHeader/>
        </w:trPr>
        <w:tc>
          <w:tcPr>
            <w:tcW w:w="1696" w:type="dxa"/>
            <w:vMerge w:val="restart"/>
            <w:tcBorders>
              <w:top w:val="double" w:sz="4" w:space="0" w:color="auto"/>
            </w:tcBorders>
            <w:shd w:val="clear" w:color="auto" w:fill="FFFFFF" w:themeFill="background1"/>
            <w:vAlign w:val="center"/>
          </w:tcPr>
          <w:p w:rsidR="0056340B" w:rsidRPr="00681072" w:rsidRDefault="00771987" w:rsidP="00F738E5">
            <w:pPr>
              <w:spacing w:afterLines="40" w:after="96"/>
              <w:rPr>
                <w:rFonts w:ascii="Arial" w:hAnsi="Arial" w:cs="Arial"/>
                <w:b/>
                <w:sz w:val="18"/>
                <w:szCs w:val="20"/>
              </w:rPr>
            </w:pPr>
            <w:r w:rsidRPr="00681072">
              <w:rPr>
                <w:rFonts w:ascii="Arial" w:hAnsi="Arial" w:cs="Arial"/>
                <w:b/>
                <w:sz w:val="18"/>
                <w:szCs w:val="20"/>
              </w:rPr>
              <w:lastRenderedPageBreak/>
              <w:t>NEGOTIATED FINANCIAL FACILITIES FOR AGENTS</w:t>
            </w:r>
          </w:p>
        </w:tc>
        <w:tc>
          <w:tcPr>
            <w:tcW w:w="5793" w:type="dxa"/>
            <w:tcBorders>
              <w:top w:val="double" w:sz="4" w:space="0" w:color="auto"/>
            </w:tcBorders>
            <w:shd w:val="clear" w:color="auto" w:fill="FFFFFF" w:themeFill="background1"/>
          </w:tcPr>
          <w:p w:rsidR="0056340B" w:rsidRPr="00F05ED3" w:rsidRDefault="0056340B" w:rsidP="00F738E5">
            <w:pPr>
              <w:pStyle w:val="ListParagraph"/>
              <w:numPr>
                <w:ilvl w:val="0"/>
                <w:numId w:val="3"/>
              </w:numPr>
              <w:spacing w:afterLines="40" w:after="96"/>
              <w:rPr>
                <w:rFonts w:ascii="Arial" w:hAnsi="Arial" w:cs="Arial"/>
                <w:sz w:val="20"/>
                <w:szCs w:val="20"/>
              </w:rPr>
            </w:pPr>
            <w:r w:rsidRPr="00F05ED3">
              <w:rPr>
                <w:rFonts w:ascii="Arial" w:hAnsi="Arial" w:cs="Arial"/>
                <w:b/>
                <w:sz w:val="20"/>
                <w:szCs w:val="20"/>
              </w:rPr>
              <w:t>Credit Facilities</w:t>
            </w:r>
            <w:r w:rsidRPr="00F05ED3">
              <w:rPr>
                <w:rFonts w:ascii="Arial" w:hAnsi="Arial" w:cs="Arial"/>
                <w:sz w:val="20"/>
                <w:szCs w:val="20"/>
              </w:rPr>
              <w:t xml:space="preserve">: </w:t>
            </w:r>
            <w:r w:rsidR="00F738E5">
              <w:rPr>
                <w:rFonts w:ascii="Arial" w:hAnsi="Arial" w:cs="Arial"/>
                <w:sz w:val="20"/>
                <w:szCs w:val="20"/>
              </w:rPr>
              <w:t>In</w:t>
            </w:r>
            <w:r w:rsidR="00F738E5" w:rsidRPr="00F05ED3">
              <w:rPr>
                <w:rFonts w:ascii="Arial" w:hAnsi="Arial" w:cs="Arial"/>
                <w:sz w:val="20"/>
                <w:szCs w:val="20"/>
              </w:rPr>
              <w:t xml:space="preserve"> </w:t>
            </w:r>
            <w:r w:rsidRPr="00F05ED3">
              <w:rPr>
                <w:rFonts w:ascii="Arial" w:hAnsi="Arial" w:cs="Arial"/>
                <w:sz w:val="20"/>
                <w:szCs w:val="20"/>
              </w:rPr>
              <w:t xml:space="preserve">most markets, agent liquidity is a major pain point, therefore any additional capital to increase agent liquidity and expand agent business should be an operator’s priority. Credit is one way to do this. After some due diligence is done, MNOs can offer direct credit service to </w:t>
            </w:r>
            <w:r w:rsidR="00F738E5">
              <w:rPr>
                <w:rFonts w:ascii="Arial" w:hAnsi="Arial" w:cs="Arial"/>
                <w:sz w:val="20"/>
                <w:szCs w:val="20"/>
              </w:rPr>
              <w:t>a</w:t>
            </w:r>
            <w:r w:rsidRPr="00F05ED3">
              <w:rPr>
                <w:rFonts w:ascii="Arial" w:hAnsi="Arial" w:cs="Arial"/>
                <w:sz w:val="20"/>
                <w:szCs w:val="20"/>
              </w:rPr>
              <w:t xml:space="preserve">gents (depending on their ability to do so) or form </w:t>
            </w:r>
            <w:hyperlink r:id="rId8" w:history="1">
              <w:r w:rsidRPr="00F05ED3">
                <w:rPr>
                  <w:rStyle w:val="Hyperlink"/>
                  <w:rFonts w:ascii="Arial" w:hAnsi="Arial" w:cs="Arial"/>
                  <w:sz w:val="20"/>
                  <w:szCs w:val="20"/>
                </w:rPr>
                <w:t>partnerships with banks</w:t>
              </w:r>
            </w:hyperlink>
            <w:r w:rsidRPr="00F05ED3">
              <w:rPr>
                <w:rFonts w:ascii="Arial" w:hAnsi="Arial" w:cs="Arial"/>
                <w:sz w:val="20"/>
                <w:szCs w:val="20"/>
              </w:rPr>
              <w:t xml:space="preserve"> and </w:t>
            </w:r>
            <w:hyperlink r:id="rId9" w:history="1">
              <w:r w:rsidRPr="00F05ED3">
                <w:rPr>
                  <w:rStyle w:val="Hyperlink"/>
                  <w:rFonts w:ascii="Arial" w:hAnsi="Arial" w:cs="Arial"/>
                  <w:sz w:val="20"/>
                  <w:szCs w:val="20"/>
                </w:rPr>
                <w:t>3rd party start-ups</w:t>
              </w:r>
            </w:hyperlink>
            <w:r w:rsidRPr="00F05ED3">
              <w:rPr>
                <w:rFonts w:ascii="Arial" w:hAnsi="Arial" w:cs="Arial"/>
                <w:sz w:val="20"/>
                <w:szCs w:val="20"/>
              </w:rPr>
              <w:t xml:space="preserve"> to finance key </w:t>
            </w:r>
            <w:r w:rsidR="00F738E5">
              <w:rPr>
                <w:rFonts w:ascii="Arial" w:hAnsi="Arial" w:cs="Arial"/>
                <w:sz w:val="20"/>
                <w:szCs w:val="20"/>
              </w:rPr>
              <w:t>a</w:t>
            </w:r>
            <w:r w:rsidRPr="00F05ED3">
              <w:rPr>
                <w:rFonts w:ascii="Arial" w:hAnsi="Arial" w:cs="Arial"/>
                <w:sz w:val="20"/>
                <w:szCs w:val="20"/>
              </w:rPr>
              <w:t xml:space="preserve">gent accounts at preferential interest rates. Qualification can be based on commission earnings over time and compliance to set standards </w:t>
            </w:r>
            <w:r w:rsidR="00F738E5">
              <w:rPr>
                <w:rFonts w:ascii="Arial" w:hAnsi="Arial" w:cs="Arial"/>
                <w:sz w:val="20"/>
                <w:szCs w:val="20"/>
              </w:rPr>
              <w:t>(</w:t>
            </w:r>
            <w:r w:rsidRPr="00F05ED3">
              <w:rPr>
                <w:rFonts w:ascii="Arial" w:hAnsi="Arial" w:cs="Arial"/>
                <w:sz w:val="20"/>
                <w:szCs w:val="20"/>
              </w:rPr>
              <w:t xml:space="preserve">e.g. AML, branding, customer service </w:t>
            </w:r>
            <w:r w:rsidR="00F738E5" w:rsidRPr="00F05ED3">
              <w:rPr>
                <w:rFonts w:ascii="Arial" w:hAnsi="Arial" w:cs="Arial"/>
                <w:sz w:val="20"/>
                <w:szCs w:val="20"/>
              </w:rPr>
              <w:t>etc.</w:t>
            </w:r>
            <w:r w:rsidR="00F738E5">
              <w:rPr>
                <w:rFonts w:ascii="Arial" w:hAnsi="Arial" w:cs="Arial"/>
                <w:sz w:val="20"/>
                <w:szCs w:val="20"/>
              </w:rPr>
              <w:t>)</w:t>
            </w:r>
            <w:r w:rsidRPr="00F05ED3">
              <w:rPr>
                <w:rFonts w:ascii="Arial" w:hAnsi="Arial" w:cs="Arial"/>
                <w:sz w:val="20"/>
                <w:szCs w:val="20"/>
              </w:rPr>
              <w:t xml:space="preserve"> to set the credit limits per agent. As a result</w:t>
            </w:r>
            <w:r w:rsidR="00F738E5">
              <w:rPr>
                <w:rFonts w:ascii="Arial" w:hAnsi="Arial" w:cs="Arial"/>
                <w:sz w:val="20"/>
                <w:szCs w:val="20"/>
              </w:rPr>
              <w:t>,</w:t>
            </w:r>
            <w:r w:rsidRPr="00F05ED3">
              <w:rPr>
                <w:rFonts w:ascii="Arial" w:hAnsi="Arial" w:cs="Arial"/>
                <w:sz w:val="20"/>
                <w:szCs w:val="20"/>
              </w:rPr>
              <w:t xml:space="preserve"> agents will have access to additional capital to expand their businesses and increase float availability, which in turn assures liquidity to customers leading to higher satisfaction levels, and automatic repeat business for </w:t>
            </w:r>
            <w:r w:rsidR="00F738E5">
              <w:rPr>
                <w:rFonts w:ascii="Arial" w:hAnsi="Arial" w:cs="Arial"/>
                <w:sz w:val="20"/>
                <w:szCs w:val="20"/>
              </w:rPr>
              <w:t>a</w:t>
            </w:r>
            <w:r w:rsidRPr="00F05ED3">
              <w:rPr>
                <w:rFonts w:ascii="Arial" w:hAnsi="Arial" w:cs="Arial"/>
                <w:sz w:val="20"/>
                <w:szCs w:val="20"/>
              </w:rPr>
              <w:t xml:space="preserve">gents. </w:t>
            </w:r>
          </w:p>
        </w:tc>
        <w:tc>
          <w:tcPr>
            <w:tcW w:w="2287" w:type="dxa"/>
            <w:gridSpan w:val="4"/>
            <w:tcBorders>
              <w:top w:val="double" w:sz="4" w:space="0" w:color="auto"/>
            </w:tcBorders>
            <w:shd w:val="clear" w:color="auto" w:fill="DE002B"/>
          </w:tcPr>
          <w:p w:rsidR="0056340B" w:rsidRPr="00D40E88" w:rsidRDefault="0056340B" w:rsidP="00D40E88">
            <w:pPr>
              <w:spacing w:afterLines="40" w:after="96"/>
              <w:rPr>
                <w:rFonts w:ascii="Arial" w:hAnsi="Arial" w:cs="Arial"/>
                <w:sz w:val="20"/>
                <w:szCs w:val="20"/>
              </w:rPr>
            </w:pPr>
          </w:p>
        </w:tc>
        <w:tc>
          <w:tcPr>
            <w:tcW w:w="5628" w:type="dxa"/>
            <w:tcBorders>
              <w:top w:val="double" w:sz="4" w:space="0" w:color="auto"/>
            </w:tcBorders>
            <w:shd w:val="clear" w:color="auto" w:fill="FFFFFF" w:themeFill="background1"/>
          </w:tcPr>
          <w:p w:rsidR="00AE17AA" w:rsidRDefault="0056340B" w:rsidP="00D40E88">
            <w:pPr>
              <w:spacing w:afterLines="40" w:after="96"/>
              <w:rPr>
                <w:rFonts w:ascii="Arial" w:hAnsi="Arial" w:cs="Arial"/>
                <w:sz w:val="20"/>
                <w:szCs w:val="20"/>
              </w:rPr>
            </w:pPr>
            <w:r w:rsidRPr="00D40E88">
              <w:rPr>
                <w:rFonts w:ascii="Arial" w:hAnsi="Arial" w:cs="Arial"/>
                <w:sz w:val="20"/>
                <w:szCs w:val="20"/>
              </w:rPr>
              <w:t xml:space="preserve">Credit offered directly by the provider may be easier implement and can only be offered to very highly trusted agents because credit is not their core business - mobile operators do not have the experience and resources to manage complex credit scoring for a large number of agents to ensure they capture the most creditworthy agents. Operators may also not be able to follow up to ensure that the loans taken are used for what it is intended - float. </w:t>
            </w:r>
          </w:p>
          <w:p w:rsidR="0056340B" w:rsidRPr="00D40E88" w:rsidRDefault="0056340B" w:rsidP="00D40E88">
            <w:pPr>
              <w:spacing w:afterLines="40" w:after="96"/>
              <w:rPr>
                <w:rFonts w:ascii="Arial" w:hAnsi="Arial" w:cs="Arial"/>
                <w:sz w:val="20"/>
                <w:szCs w:val="20"/>
              </w:rPr>
            </w:pPr>
            <w:r w:rsidRPr="00D40E88">
              <w:rPr>
                <w:rFonts w:ascii="Arial" w:hAnsi="Arial" w:cs="Arial"/>
                <w:sz w:val="20"/>
                <w:szCs w:val="20"/>
              </w:rPr>
              <w:t xml:space="preserve">Providers need to be careful to also check their level of credit risk exposure especially if there are chances of any unexpected defaults. </w:t>
            </w:r>
          </w:p>
          <w:p w:rsidR="0056340B" w:rsidRPr="00D40E88" w:rsidRDefault="0056340B" w:rsidP="00F738E5">
            <w:pPr>
              <w:spacing w:afterLines="40" w:after="96"/>
              <w:rPr>
                <w:rFonts w:ascii="Arial" w:hAnsi="Arial" w:cs="Arial"/>
                <w:sz w:val="20"/>
                <w:szCs w:val="20"/>
              </w:rPr>
            </w:pPr>
            <w:r w:rsidRPr="00D40E88">
              <w:rPr>
                <w:rFonts w:ascii="Arial" w:hAnsi="Arial" w:cs="Arial"/>
                <w:sz w:val="20"/>
                <w:szCs w:val="20"/>
              </w:rPr>
              <w:t>Since financial institutions have the systems and resources to extend credit services to agents they would be more willing to take the risk of doing so. However, it may take longer to reach a contractual agreement and implement such a scheme.</w:t>
            </w:r>
          </w:p>
        </w:tc>
      </w:tr>
      <w:tr w:rsidR="00634138" w:rsidRPr="00D40E88" w:rsidTr="00681072">
        <w:trPr>
          <w:trHeight w:val="639"/>
          <w:tblHeader/>
        </w:trPr>
        <w:tc>
          <w:tcPr>
            <w:tcW w:w="1696" w:type="dxa"/>
            <w:vMerge/>
            <w:tcBorders>
              <w:bottom w:val="double" w:sz="4" w:space="0" w:color="auto"/>
            </w:tcBorders>
            <w:shd w:val="clear" w:color="auto" w:fill="FFFFFF" w:themeFill="background1"/>
          </w:tcPr>
          <w:p w:rsidR="00634138" w:rsidRPr="00681072" w:rsidRDefault="00634138" w:rsidP="00D40E88">
            <w:pPr>
              <w:spacing w:afterLines="40" w:after="96"/>
              <w:rPr>
                <w:rFonts w:ascii="Arial" w:hAnsi="Arial" w:cs="Arial"/>
                <w:sz w:val="18"/>
                <w:szCs w:val="20"/>
              </w:rPr>
            </w:pPr>
          </w:p>
        </w:tc>
        <w:tc>
          <w:tcPr>
            <w:tcW w:w="5793" w:type="dxa"/>
            <w:tcBorders>
              <w:bottom w:val="double" w:sz="4" w:space="0" w:color="auto"/>
            </w:tcBorders>
            <w:shd w:val="clear" w:color="auto" w:fill="FFFFFF" w:themeFill="background1"/>
          </w:tcPr>
          <w:p w:rsidR="00634138" w:rsidRPr="00F05ED3" w:rsidRDefault="00634138" w:rsidP="00F05ED3">
            <w:pPr>
              <w:pStyle w:val="ListParagraph"/>
              <w:numPr>
                <w:ilvl w:val="0"/>
                <w:numId w:val="3"/>
              </w:numPr>
              <w:spacing w:afterLines="40" w:after="96"/>
              <w:rPr>
                <w:rFonts w:ascii="Arial" w:hAnsi="Arial" w:cs="Arial"/>
                <w:sz w:val="20"/>
                <w:szCs w:val="20"/>
              </w:rPr>
            </w:pPr>
            <w:r w:rsidRPr="00F05ED3">
              <w:rPr>
                <w:rFonts w:ascii="Arial" w:hAnsi="Arial" w:cs="Arial"/>
                <w:b/>
                <w:sz w:val="20"/>
                <w:szCs w:val="20"/>
              </w:rPr>
              <w:t>Reduced Transaction Fees</w:t>
            </w:r>
            <w:r w:rsidRPr="00F05ED3">
              <w:rPr>
                <w:rFonts w:ascii="Arial" w:hAnsi="Arial" w:cs="Arial"/>
                <w:sz w:val="20"/>
                <w:szCs w:val="20"/>
              </w:rPr>
              <w:t xml:space="preserve">: Another way of supporting </w:t>
            </w:r>
            <w:r w:rsidR="00F738E5">
              <w:rPr>
                <w:rFonts w:ascii="Arial" w:hAnsi="Arial" w:cs="Arial"/>
                <w:sz w:val="20"/>
                <w:szCs w:val="20"/>
              </w:rPr>
              <w:t>a</w:t>
            </w:r>
            <w:r w:rsidRPr="00F05ED3">
              <w:rPr>
                <w:rFonts w:ascii="Arial" w:hAnsi="Arial" w:cs="Arial"/>
                <w:sz w:val="20"/>
                <w:szCs w:val="20"/>
              </w:rPr>
              <w:t xml:space="preserve">gents is partnering with banks and other financial institutions to subsidise super-agency fees. </w:t>
            </w:r>
          </w:p>
        </w:tc>
        <w:tc>
          <w:tcPr>
            <w:tcW w:w="1153" w:type="dxa"/>
            <w:gridSpan w:val="2"/>
            <w:tcBorders>
              <w:bottom w:val="double" w:sz="4" w:space="0" w:color="auto"/>
            </w:tcBorders>
            <w:shd w:val="clear" w:color="auto" w:fill="FF6600"/>
          </w:tcPr>
          <w:p w:rsidR="00634138" w:rsidRPr="00D40E88" w:rsidRDefault="00634138" w:rsidP="00D40E88">
            <w:pPr>
              <w:spacing w:afterLines="40" w:after="96"/>
              <w:rPr>
                <w:rFonts w:ascii="Arial" w:hAnsi="Arial" w:cs="Arial"/>
                <w:sz w:val="20"/>
                <w:szCs w:val="20"/>
              </w:rPr>
            </w:pPr>
          </w:p>
        </w:tc>
        <w:tc>
          <w:tcPr>
            <w:tcW w:w="1134" w:type="dxa"/>
            <w:gridSpan w:val="2"/>
            <w:tcBorders>
              <w:bottom w:val="double" w:sz="4" w:space="0" w:color="auto"/>
            </w:tcBorders>
            <w:shd w:val="clear" w:color="auto" w:fill="DE002B"/>
          </w:tcPr>
          <w:p w:rsidR="00634138" w:rsidRPr="00D40E88" w:rsidRDefault="00634138" w:rsidP="00D40E88">
            <w:pPr>
              <w:spacing w:afterLines="40" w:after="96"/>
              <w:rPr>
                <w:rFonts w:ascii="Arial" w:hAnsi="Arial" w:cs="Arial"/>
                <w:sz w:val="20"/>
                <w:szCs w:val="20"/>
              </w:rPr>
            </w:pPr>
          </w:p>
        </w:tc>
        <w:tc>
          <w:tcPr>
            <w:tcW w:w="5628" w:type="dxa"/>
            <w:tcBorders>
              <w:bottom w:val="double" w:sz="4" w:space="0" w:color="auto"/>
            </w:tcBorders>
            <w:shd w:val="clear" w:color="auto" w:fill="FFFFFF" w:themeFill="background1"/>
          </w:tcPr>
          <w:p w:rsidR="00634138" w:rsidRPr="00D40E88" w:rsidRDefault="00634138" w:rsidP="00D40E88">
            <w:pPr>
              <w:spacing w:afterLines="40" w:after="96"/>
              <w:rPr>
                <w:rFonts w:ascii="Arial" w:hAnsi="Arial" w:cs="Arial"/>
                <w:sz w:val="20"/>
                <w:szCs w:val="20"/>
              </w:rPr>
            </w:pPr>
            <w:r w:rsidRPr="00D40E88">
              <w:rPr>
                <w:rFonts w:ascii="Arial" w:hAnsi="Arial" w:cs="Arial"/>
                <w:sz w:val="20"/>
                <w:szCs w:val="20"/>
              </w:rPr>
              <w:t>Success will depend on the kind of relationship the provider has with financial institutions</w:t>
            </w:r>
            <w:r w:rsidR="00F738E5">
              <w:rPr>
                <w:rFonts w:ascii="Arial" w:hAnsi="Arial" w:cs="Arial"/>
                <w:sz w:val="20"/>
                <w:szCs w:val="20"/>
              </w:rPr>
              <w:t>.</w:t>
            </w:r>
          </w:p>
        </w:tc>
      </w:tr>
      <w:tr w:rsidR="0056340B" w:rsidRPr="00D40E88" w:rsidTr="00681072">
        <w:trPr>
          <w:trHeight w:val="1702"/>
        </w:trPr>
        <w:tc>
          <w:tcPr>
            <w:tcW w:w="1696" w:type="dxa"/>
            <w:vMerge w:val="restart"/>
            <w:tcBorders>
              <w:top w:val="double" w:sz="4" w:space="0" w:color="auto"/>
            </w:tcBorders>
            <w:vAlign w:val="center"/>
          </w:tcPr>
          <w:p w:rsidR="0056340B" w:rsidRPr="00681072" w:rsidRDefault="00D40E88" w:rsidP="00D40E88">
            <w:pPr>
              <w:spacing w:afterLines="40" w:after="96"/>
              <w:rPr>
                <w:rFonts w:ascii="Arial" w:hAnsi="Arial" w:cs="Arial"/>
                <w:b/>
                <w:sz w:val="18"/>
                <w:szCs w:val="20"/>
              </w:rPr>
            </w:pPr>
            <w:r w:rsidRPr="00681072">
              <w:rPr>
                <w:rFonts w:ascii="Arial" w:hAnsi="Arial" w:cs="Arial"/>
                <w:b/>
                <w:sz w:val="18"/>
                <w:szCs w:val="20"/>
              </w:rPr>
              <w:t>IMPROVED RELATIONSHIP MANAGEMENT</w:t>
            </w:r>
          </w:p>
        </w:tc>
        <w:tc>
          <w:tcPr>
            <w:tcW w:w="5793" w:type="dxa"/>
            <w:tcBorders>
              <w:top w:val="double" w:sz="4" w:space="0" w:color="auto"/>
            </w:tcBorders>
          </w:tcPr>
          <w:p w:rsidR="0056340B" w:rsidRPr="00F05ED3" w:rsidRDefault="0056340B" w:rsidP="00F05ED3">
            <w:pPr>
              <w:pStyle w:val="ListParagraph"/>
              <w:numPr>
                <w:ilvl w:val="0"/>
                <w:numId w:val="3"/>
              </w:numPr>
              <w:spacing w:afterLines="40" w:after="96"/>
              <w:rPr>
                <w:rFonts w:ascii="Arial" w:hAnsi="Arial" w:cs="Arial"/>
                <w:sz w:val="20"/>
                <w:szCs w:val="20"/>
              </w:rPr>
            </w:pPr>
            <w:r w:rsidRPr="00F05ED3">
              <w:rPr>
                <w:rFonts w:ascii="Arial" w:hAnsi="Arial" w:cs="Arial"/>
                <w:sz w:val="20"/>
                <w:szCs w:val="20"/>
              </w:rPr>
              <w:t>An MNO can invest in additional resources to manage, support and provide constant communication and feedback to top compliant agents. This can be through dedicated customer care line support, staff set aside to give dedicated support and care to select key agents, special commission, free branding</w:t>
            </w:r>
            <w:r w:rsidR="00F738E5">
              <w:rPr>
                <w:rFonts w:ascii="Arial" w:hAnsi="Arial" w:cs="Arial"/>
                <w:sz w:val="20"/>
                <w:szCs w:val="20"/>
              </w:rPr>
              <w:t>,</w:t>
            </w:r>
            <w:r w:rsidRPr="00F05ED3">
              <w:rPr>
                <w:rFonts w:ascii="Arial" w:hAnsi="Arial" w:cs="Arial"/>
                <w:sz w:val="20"/>
                <w:szCs w:val="20"/>
              </w:rPr>
              <w:t xml:space="preserve"> etc. </w:t>
            </w:r>
          </w:p>
        </w:tc>
        <w:tc>
          <w:tcPr>
            <w:tcW w:w="2287" w:type="dxa"/>
            <w:gridSpan w:val="4"/>
            <w:tcBorders>
              <w:top w:val="double" w:sz="4" w:space="0" w:color="auto"/>
            </w:tcBorders>
            <w:shd w:val="clear" w:color="auto" w:fill="FF6600"/>
          </w:tcPr>
          <w:p w:rsidR="0056340B" w:rsidRPr="00D40E88" w:rsidRDefault="0056340B" w:rsidP="00D40E88">
            <w:pPr>
              <w:spacing w:afterLines="40" w:after="96"/>
              <w:rPr>
                <w:rFonts w:ascii="Arial" w:hAnsi="Arial" w:cs="Arial"/>
                <w:sz w:val="20"/>
                <w:szCs w:val="20"/>
              </w:rPr>
            </w:pPr>
          </w:p>
        </w:tc>
        <w:tc>
          <w:tcPr>
            <w:tcW w:w="5628" w:type="dxa"/>
            <w:tcBorders>
              <w:top w:val="double" w:sz="4" w:space="0" w:color="auto"/>
            </w:tcBorders>
          </w:tcPr>
          <w:p w:rsidR="0056340B" w:rsidRPr="00D40E88" w:rsidRDefault="0056340B" w:rsidP="00D40E88">
            <w:pPr>
              <w:spacing w:afterLines="40" w:after="96"/>
              <w:rPr>
                <w:rFonts w:ascii="Arial" w:hAnsi="Arial" w:cs="Arial"/>
                <w:sz w:val="20"/>
                <w:szCs w:val="20"/>
              </w:rPr>
            </w:pPr>
            <w:r w:rsidRPr="00D40E88">
              <w:rPr>
                <w:rFonts w:ascii="Arial" w:hAnsi="Arial" w:cs="Arial"/>
                <w:sz w:val="20"/>
                <w:szCs w:val="20"/>
              </w:rPr>
              <w:t xml:space="preserve">This is easy to implement at little or no cost to the provider if the resources are already available in-house. </w:t>
            </w:r>
          </w:p>
          <w:p w:rsidR="0056340B" w:rsidRPr="00D40E88" w:rsidRDefault="0056340B" w:rsidP="00D40E88">
            <w:pPr>
              <w:spacing w:afterLines="40" w:after="96"/>
              <w:rPr>
                <w:rFonts w:ascii="Arial" w:hAnsi="Arial" w:cs="Arial"/>
                <w:sz w:val="20"/>
                <w:szCs w:val="20"/>
              </w:rPr>
            </w:pPr>
            <w:r w:rsidRPr="00D40E88">
              <w:rPr>
                <w:rFonts w:ascii="Arial" w:hAnsi="Arial" w:cs="Arial"/>
                <w:sz w:val="20"/>
                <w:szCs w:val="20"/>
              </w:rPr>
              <w:t xml:space="preserve">However, if the resources need to be hired, then there would be some implications on OPEX </w:t>
            </w:r>
          </w:p>
        </w:tc>
      </w:tr>
      <w:tr w:rsidR="0056340B" w:rsidRPr="00D40E88" w:rsidTr="00681072">
        <w:trPr>
          <w:trHeight w:val="1339"/>
        </w:trPr>
        <w:tc>
          <w:tcPr>
            <w:tcW w:w="1696" w:type="dxa"/>
            <w:vMerge/>
          </w:tcPr>
          <w:p w:rsidR="0056340B" w:rsidRPr="00681072" w:rsidRDefault="0056340B" w:rsidP="00D40E88">
            <w:pPr>
              <w:spacing w:afterLines="40" w:after="96"/>
              <w:rPr>
                <w:rFonts w:ascii="Arial" w:hAnsi="Arial" w:cs="Arial"/>
                <w:sz w:val="18"/>
                <w:szCs w:val="20"/>
              </w:rPr>
            </w:pPr>
          </w:p>
        </w:tc>
        <w:tc>
          <w:tcPr>
            <w:tcW w:w="5793" w:type="dxa"/>
          </w:tcPr>
          <w:p w:rsidR="0056340B" w:rsidRPr="00F05ED3" w:rsidRDefault="0056340B" w:rsidP="00F05ED3">
            <w:pPr>
              <w:pStyle w:val="ListParagraph"/>
              <w:numPr>
                <w:ilvl w:val="0"/>
                <w:numId w:val="3"/>
              </w:numPr>
              <w:spacing w:afterLines="40" w:after="96"/>
              <w:rPr>
                <w:rFonts w:ascii="Arial" w:hAnsi="Arial" w:cs="Arial"/>
                <w:sz w:val="20"/>
                <w:szCs w:val="20"/>
              </w:rPr>
            </w:pPr>
            <w:r w:rsidRPr="00F05ED3">
              <w:rPr>
                <w:rFonts w:ascii="Arial" w:hAnsi="Arial" w:cs="Arial"/>
                <w:sz w:val="20"/>
                <w:szCs w:val="20"/>
              </w:rPr>
              <w:t>By understanding the business needs of agents, the provider may want to support an Agent ‘Business Club’ to share best practices for business growth and improvement as well as financial management training to close financial management knowledge gaps.</w:t>
            </w:r>
          </w:p>
        </w:tc>
        <w:tc>
          <w:tcPr>
            <w:tcW w:w="2287" w:type="dxa"/>
            <w:gridSpan w:val="4"/>
            <w:shd w:val="clear" w:color="auto" w:fill="FFC000"/>
          </w:tcPr>
          <w:p w:rsidR="0056340B" w:rsidRPr="00D40E88" w:rsidRDefault="0056340B" w:rsidP="00D40E88">
            <w:pPr>
              <w:spacing w:afterLines="40" w:after="96"/>
              <w:rPr>
                <w:rFonts w:ascii="Arial" w:hAnsi="Arial" w:cs="Arial"/>
                <w:sz w:val="20"/>
                <w:szCs w:val="20"/>
              </w:rPr>
            </w:pPr>
          </w:p>
        </w:tc>
        <w:tc>
          <w:tcPr>
            <w:tcW w:w="5628" w:type="dxa"/>
            <w:vMerge w:val="restart"/>
            <w:vAlign w:val="center"/>
          </w:tcPr>
          <w:p w:rsidR="00695D48" w:rsidRDefault="0056340B" w:rsidP="00D40E88">
            <w:pPr>
              <w:spacing w:afterLines="40" w:after="96"/>
              <w:rPr>
                <w:rFonts w:ascii="Arial" w:hAnsi="Arial" w:cs="Arial"/>
                <w:sz w:val="20"/>
                <w:szCs w:val="20"/>
              </w:rPr>
            </w:pPr>
            <w:r w:rsidRPr="00D40E88">
              <w:rPr>
                <w:rFonts w:ascii="Arial" w:hAnsi="Arial" w:cs="Arial"/>
                <w:sz w:val="20"/>
                <w:szCs w:val="20"/>
              </w:rPr>
              <w:t xml:space="preserve">By encouraging collaboration among agents, an operator can spur up innovative ideas from the agents themselves rather than being an enforcer. </w:t>
            </w:r>
          </w:p>
          <w:p w:rsidR="0056340B" w:rsidRDefault="0056340B" w:rsidP="00D40E88">
            <w:pPr>
              <w:spacing w:afterLines="40" w:after="96"/>
              <w:rPr>
                <w:rFonts w:ascii="Arial" w:hAnsi="Arial" w:cs="Arial"/>
                <w:sz w:val="20"/>
                <w:szCs w:val="20"/>
              </w:rPr>
            </w:pPr>
            <w:r w:rsidRPr="00D40E88">
              <w:rPr>
                <w:rFonts w:ascii="Arial" w:hAnsi="Arial" w:cs="Arial"/>
                <w:sz w:val="20"/>
                <w:szCs w:val="20"/>
              </w:rPr>
              <w:t xml:space="preserve">Huge benefits can be gained from this approach especially when the agents take the lead and communication between </w:t>
            </w:r>
            <w:r w:rsidR="00287E41">
              <w:rPr>
                <w:rFonts w:ascii="Arial" w:hAnsi="Arial" w:cs="Arial"/>
                <w:sz w:val="20"/>
                <w:szCs w:val="20"/>
              </w:rPr>
              <w:t>a</w:t>
            </w:r>
            <w:r w:rsidRPr="00D40E88">
              <w:rPr>
                <w:rFonts w:ascii="Arial" w:hAnsi="Arial" w:cs="Arial"/>
                <w:sz w:val="20"/>
                <w:szCs w:val="20"/>
              </w:rPr>
              <w:t>gent and MNO is open.</w:t>
            </w:r>
          </w:p>
          <w:p w:rsidR="00681072" w:rsidRPr="00D40E88" w:rsidRDefault="00DB0E78" w:rsidP="00DB0E78">
            <w:pPr>
              <w:spacing w:afterLines="40" w:after="96"/>
              <w:rPr>
                <w:rFonts w:ascii="Arial" w:hAnsi="Arial" w:cs="Arial"/>
                <w:sz w:val="20"/>
                <w:szCs w:val="20"/>
              </w:rPr>
            </w:pPr>
            <w:r>
              <w:rPr>
                <w:rFonts w:ascii="Arial" w:hAnsi="Arial" w:cs="Arial"/>
                <w:sz w:val="20"/>
                <w:szCs w:val="20"/>
              </w:rPr>
              <w:t xml:space="preserve">The effort required to </w:t>
            </w:r>
            <w:r w:rsidR="00681072">
              <w:rPr>
                <w:rFonts w:ascii="Arial" w:hAnsi="Arial" w:cs="Arial"/>
                <w:sz w:val="20"/>
                <w:szCs w:val="20"/>
              </w:rPr>
              <w:t>set up an insurance and security policy will depend on the risk</w:t>
            </w:r>
            <w:r>
              <w:rPr>
                <w:rFonts w:ascii="Arial" w:hAnsi="Arial" w:cs="Arial"/>
                <w:sz w:val="20"/>
                <w:szCs w:val="20"/>
              </w:rPr>
              <w:t xml:space="preserve"> evaluation of the companies,</w:t>
            </w:r>
            <w:r w:rsidR="00681072">
              <w:rPr>
                <w:rFonts w:ascii="Arial" w:hAnsi="Arial" w:cs="Arial"/>
                <w:sz w:val="20"/>
                <w:szCs w:val="20"/>
              </w:rPr>
              <w:t xml:space="preserve"> the commercial agreements reached by the MNO on the Agents’ behalf </w:t>
            </w:r>
            <w:r>
              <w:rPr>
                <w:rFonts w:ascii="Arial" w:hAnsi="Arial" w:cs="Arial"/>
                <w:sz w:val="20"/>
                <w:szCs w:val="20"/>
              </w:rPr>
              <w:t xml:space="preserve">and the Agents’ acceptance of the offer. </w:t>
            </w:r>
          </w:p>
        </w:tc>
      </w:tr>
      <w:tr w:rsidR="00634138" w:rsidRPr="00D40E88" w:rsidTr="00681072">
        <w:trPr>
          <w:trHeight w:val="1045"/>
        </w:trPr>
        <w:tc>
          <w:tcPr>
            <w:tcW w:w="1696" w:type="dxa"/>
            <w:vMerge/>
            <w:tcBorders>
              <w:bottom w:val="double" w:sz="4" w:space="0" w:color="auto"/>
            </w:tcBorders>
          </w:tcPr>
          <w:p w:rsidR="00634138" w:rsidRPr="00681072" w:rsidRDefault="00634138" w:rsidP="00D40E88">
            <w:pPr>
              <w:spacing w:afterLines="40" w:after="96"/>
              <w:rPr>
                <w:rFonts w:ascii="Arial" w:hAnsi="Arial" w:cs="Arial"/>
                <w:sz w:val="18"/>
                <w:szCs w:val="20"/>
              </w:rPr>
            </w:pPr>
          </w:p>
        </w:tc>
        <w:tc>
          <w:tcPr>
            <w:tcW w:w="5793" w:type="dxa"/>
            <w:tcBorders>
              <w:bottom w:val="double" w:sz="4" w:space="0" w:color="auto"/>
            </w:tcBorders>
          </w:tcPr>
          <w:p w:rsidR="00634138" w:rsidRPr="00F05ED3" w:rsidRDefault="00634138" w:rsidP="00F05ED3">
            <w:pPr>
              <w:pStyle w:val="ListParagraph"/>
              <w:numPr>
                <w:ilvl w:val="0"/>
                <w:numId w:val="3"/>
              </w:numPr>
              <w:spacing w:afterLines="40" w:after="96"/>
              <w:rPr>
                <w:rFonts w:ascii="Arial" w:hAnsi="Arial" w:cs="Arial"/>
                <w:sz w:val="20"/>
                <w:szCs w:val="20"/>
              </w:rPr>
            </w:pPr>
            <w:r w:rsidRPr="00F05ED3">
              <w:rPr>
                <w:rFonts w:ascii="Arial" w:hAnsi="Arial" w:cs="Arial"/>
                <w:sz w:val="20"/>
                <w:szCs w:val="20"/>
              </w:rPr>
              <w:t>In high</w:t>
            </w:r>
            <w:r w:rsidR="00695D48">
              <w:rPr>
                <w:rFonts w:ascii="Arial" w:hAnsi="Arial" w:cs="Arial"/>
                <w:sz w:val="20"/>
                <w:szCs w:val="20"/>
              </w:rPr>
              <w:t>-</w:t>
            </w:r>
            <w:r w:rsidRPr="00F05ED3">
              <w:rPr>
                <w:rFonts w:ascii="Arial" w:hAnsi="Arial" w:cs="Arial"/>
                <w:sz w:val="20"/>
                <w:szCs w:val="20"/>
              </w:rPr>
              <w:t xml:space="preserve">risk markets where </w:t>
            </w:r>
            <w:r w:rsidR="00695D48">
              <w:rPr>
                <w:rFonts w:ascii="Arial" w:hAnsi="Arial" w:cs="Arial"/>
                <w:sz w:val="20"/>
                <w:szCs w:val="20"/>
              </w:rPr>
              <w:t>a</w:t>
            </w:r>
            <w:r w:rsidRPr="00F05ED3">
              <w:rPr>
                <w:rFonts w:ascii="Arial" w:hAnsi="Arial" w:cs="Arial"/>
                <w:sz w:val="20"/>
                <w:szCs w:val="20"/>
              </w:rPr>
              <w:t xml:space="preserve">gents are frequently prone to security threats, mobile operators can partner with insurance and security companies to support high-risk agents. </w:t>
            </w:r>
          </w:p>
        </w:tc>
        <w:tc>
          <w:tcPr>
            <w:tcW w:w="1153" w:type="dxa"/>
            <w:gridSpan w:val="2"/>
            <w:tcBorders>
              <w:bottom w:val="double" w:sz="4" w:space="0" w:color="auto"/>
            </w:tcBorders>
            <w:shd w:val="clear" w:color="auto" w:fill="FF6600"/>
          </w:tcPr>
          <w:p w:rsidR="00634138" w:rsidRPr="00D40E88" w:rsidRDefault="00634138" w:rsidP="00D40E88">
            <w:pPr>
              <w:spacing w:afterLines="40" w:after="96"/>
              <w:rPr>
                <w:rFonts w:ascii="Arial" w:hAnsi="Arial" w:cs="Arial"/>
                <w:sz w:val="20"/>
                <w:szCs w:val="20"/>
              </w:rPr>
            </w:pPr>
          </w:p>
        </w:tc>
        <w:tc>
          <w:tcPr>
            <w:tcW w:w="1134" w:type="dxa"/>
            <w:gridSpan w:val="2"/>
            <w:tcBorders>
              <w:bottom w:val="double" w:sz="4" w:space="0" w:color="auto"/>
            </w:tcBorders>
            <w:shd w:val="clear" w:color="auto" w:fill="DE002B"/>
          </w:tcPr>
          <w:p w:rsidR="00634138" w:rsidRPr="00D40E88" w:rsidRDefault="00634138" w:rsidP="00D40E88">
            <w:pPr>
              <w:spacing w:afterLines="40" w:after="96"/>
              <w:rPr>
                <w:rFonts w:ascii="Arial" w:hAnsi="Arial" w:cs="Arial"/>
                <w:sz w:val="20"/>
                <w:szCs w:val="20"/>
              </w:rPr>
            </w:pPr>
          </w:p>
        </w:tc>
        <w:tc>
          <w:tcPr>
            <w:tcW w:w="5628" w:type="dxa"/>
            <w:vMerge/>
            <w:tcBorders>
              <w:bottom w:val="double" w:sz="4" w:space="0" w:color="auto"/>
            </w:tcBorders>
          </w:tcPr>
          <w:p w:rsidR="00634138" w:rsidRPr="00D40E88" w:rsidRDefault="00634138" w:rsidP="00D40E88">
            <w:pPr>
              <w:spacing w:afterLines="40" w:after="96"/>
              <w:rPr>
                <w:rFonts w:ascii="Arial" w:hAnsi="Arial" w:cs="Arial"/>
                <w:sz w:val="20"/>
                <w:szCs w:val="20"/>
              </w:rPr>
            </w:pPr>
          </w:p>
        </w:tc>
      </w:tr>
      <w:tr w:rsidR="0056340B" w:rsidRPr="00D40E88" w:rsidTr="00681072">
        <w:trPr>
          <w:trHeight w:val="463"/>
        </w:trPr>
        <w:tc>
          <w:tcPr>
            <w:tcW w:w="1696" w:type="dxa"/>
            <w:vMerge w:val="restart"/>
            <w:tcBorders>
              <w:top w:val="double" w:sz="4" w:space="0" w:color="auto"/>
            </w:tcBorders>
            <w:shd w:val="clear" w:color="auto" w:fill="FFFFFF" w:themeFill="background1"/>
            <w:vAlign w:val="center"/>
          </w:tcPr>
          <w:p w:rsidR="0056340B" w:rsidRPr="00681072" w:rsidRDefault="00D40E88" w:rsidP="00D40E88">
            <w:pPr>
              <w:spacing w:afterLines="40" w:after="96"/>
              <w:rPr>
                <w:rFonts w:ascii="Arial" w:hAnsi="Arial" w:cs="Arial"/>
                <w:b/>
                <w:sz w:val="18"/>
                <w:szCs w:val="20"/>
              </w:rPr>
            </w:pPr>
            <w:r w:rsidRPr="00681072">
              <w:rPr>
                <w:rFonts w:ascii="Arial" w:hAnsi="Arial" w:cs="Arial"/>
                <w:b/>
                <w:sz w:val="18"/>
                <w:szCs w:val="20"/>
              </w:rPr>
              <w:lastRenderedPageBreak/>
              <w:t>STRUCTURED REWARDS SYSTEM</w:t>
            </w:r>
          </w:p>
        </w:tc>
        <w:tc>
          <w:tcPr>
            <w:tcW w:w="5793" w:type="dxa"/>
            <w:tcBorders>
              <w:top w:val="double" w:sz="4" w:space="0" w:color="auto"/>
            </w:tcBorders>
            <w:shd w:val="clear" w:color="auto" w:fill="FFFFFF" w:themeFill="background1"/>
          </w:tcPr>
          <w:p w:rsidR="0056340B" w:rsidRPr="00F05ED3" w:rsidRDefault="0056340B" w:rsidP="00F05ED3">
            <w:pPr>
              <w:pStyle w:val="ListParagraph"/>
              <w:numPr>
                <w:ilvl w:val="0"/>
                <w:numId w:val="3"/>
              </w:numPr>
              <w:spacing w:afterLines="40" w:after="96"/>
              <w:rPr>
                <w:rFonts w:ascii="Arial" w:hAnsi="Arial" w:cs="Arial"/>
                <w:sz w:val="20"/>
                <w:szCs w:val="20"/>
              </w:rPr>
            </w:pPr>
            <w:r w:rsidRPr="00F05ED3">
              <w:rPr>
                <w:rFonts w:ascii="Arial" w:hAnsi="Arial" w:cs="Arial"/>
                <w:sz w:val="20"/>
                <w:szCs w:val="20"/>
              </w:rPr>
              <w:t>An agent classification matrix based on forecast</w:t>
            </w:r>
            <w:r w:rsidR="00695D48">
              <w:rPr>
                <w:rFonts w:ascii="Arial" w:hAnsi="Arial" w:cs="Arial"/>
                <w:sz w:val="20"/>
                <w:szCs w:val="20"/>
              </w:rPr>
              <w:t>s</w:t>
            </w:r>
            <w:r w:rsidRPr="00F05ED3">
              <w:rPr>
                <w:rFonts w:ascii="Arial" w:hAnsi="Arial" w:cs="Arial"/>
                <w:sz w:val="20"/>
                <w:szCs w:val="20"/>
              </w:rPr>
              <w:t xml:space="preserve"> for agent growth, transactions and values can be used to rank agents based on their performance. Such classification creates healthy competition among agents and makes the</w:t>
            </w:r>
            <w:r w:rsidR="00695D48">
              <w:rPr>
                <w:rFonts w:ascii="Arial" w:hAnsi="Arial" w:cs="Arial"/>
                <w:sz w:val="20"/>
                <w:szCs w:val="20"/>
              </w:rPr>
              <w:t>m</w:t>
            </w:r>
            <w:r w:rsidRPr="00F05ED3">
              <w:rPr>
                <w:rFonts w:ascii="Arial" w:hAnsi="Arial" w:cs="Arial"/>
                <w:sz w:val="20"/>
                <w:szCs w:val="20"/>
              </w:rPr>
              <w:t xml:space="preserve"> aspirational. Classify transaction types that can qualify redeemable loyalty points</w:t>
            </w:r>
            <w:r w:rsidR="00695D48">
              <w:rPr>
                <w:rFonts w:ascii="Arial" w:hAnsi="Arial" w:cs="Arial"/>
                <w:sz w:val="20"/>
                <w:szCs w:val="20"/>
              </w:rPr>
              <w:t>.</w:t>
            </w:r>
            <w:r w:rsidRPr="00F05ED3">
              <w:rPr>
                <w:rFonts w:ascii="Arial" w:hAnsi="Arial" w:cs="Arial"/>
                <w:sz w:val="20"/>
                <w:szCs w:val="20"/>
              </w:rPr>
              <w:t xml:space="preserve"> </w:t>
            </w:r>
          </w:p>
        </w:tc>
        <w:tc>
          <w:tcPr>
            <w:tcW w:w="2287" w:type="dxa"/>
            <w:gridSpan w:val="4"/>
            <w:tcBorders>
              <w:top w:val="double" w:sz="4" w:space="0" w:color="auto"/>
            </w:tcBorders>
            <w:shd w:val="clear" w:color="auto" w:fill="FCBB2C"/>
          </w:tcPr>
          <w:p w:rsidR="0056340B" w:rsidRPr="00D40E88" w:rsidRDefault="0056340B" w:rsidP="00D40E88">
            <w:pPr>
              <w:spacing w:afterLines="40" w:after="96"/>
              <w:rPr>
                <w:rFonts w:ascii="Arial" w:hAnsi="Arial" w:cs="Arial"/>
                <w:sz w:val="20"/>
                <w:szCs w:val="20"/>
              </w:rPr>
            </w:pPr>
          </w:p>
        </w:tc>
        <w:tc>
          <w:tcPr>
            <w:tcW w:w="5628" w:type="dxa"/>
            <w:tcBorders>
              <w:top w:val="double" w:sz="4" w:space="0" w:color="auto"/>
            </w:tcBorders>
            <w:shd w:val="clear" w:color="auto" w:fill="FFFFFF" w:themeFill="background1"/>
          </w:tcPr>
          <w:p w:rsidR="0056340B" w:rsidRPr="00D40E88" w:rsidRDefault="0056340B" w:rsidP="00D40E88">
            <w:pPr>
              <w:spacing w:afterLines="40" w:after="96"/>
              <w:rPr>
                <w:rFonts w:ascii="Arial" w:hAnsi="Arial" w:cs="Arial"/>
                <w:sz w:val="20"/>
                <w:szCs w:val="20"/>
              </w:rPr>
            </w:pPr>
            <w:r w:rsidRPr="00D40E88">
              <w:rPr>
                <w:rFonts w:ascii="Arial" w:hAnsi="Arial" w:cs="Arial"/>
                <w:sz w:val="20"/>
                <w:szCs w:val="20"/>
              </w:rPr>
              <w:t xml:space="preserve">Ranking agents based not only on the volume and value of transaction but also compliance, should be a continuous practice to ensure that the operator can segment and manage agents easily. The operator can focus on giving more time and resources to agents who are committed to increasing business in order to inspire those that are not to start doing so. </w:t>
            </w:r>
          </w:p>
        </w:tc>
      </w:tr>
      <w:tr w:rsidR="0056340B" w:rsidRPr="00D40E88" w:rsidTr="00681072">
        <w:trPr>
          <w:trHeight w:val="1104"/>
        </w:trPr>
        <w:tc>
          <w:tcPr>
            <w:tcW w:w="1696" w:type="dxa"/>
            <w:vMerge/>
            <w:shd w:val="clear" w:color="auto" w:fill="FFFFFF" w:themeFill="background1"/>
          </w:tcPr>
          <w:p w:rsidR="0056340B" w:rsidRPr="00681072" w:rsidRDefault="0056340B" w:rsidP="00D40E88">
            <w:pPr>
              <w:spacing w:afterLines="40" w:after="96"/>
              <w:rPr>
                <w:rFonts w:ascii="Arial" w:hAnsi="Arial" w:cs="Arial"/>
                <w:sz w:val="18"/>
                <w:szCs w:val="20"/>
              </w:rPr>
            </w:pPr>
          </w:p>
        </w:tc>
        <w:tc>
          <w:tcPr>
            <w:tcW w:w="5793" w:type="dxa"/>
            <w:shd w:val="clear" w:color="auto" w:fill="FFFFFF" w:themeFill="background1"/>
          </w:tcPr>
          <w:p w:rsidR="0056340B" w:rsidRPr="00F05ED3" w:rsidRDefault="0056340B" w:rsidP="00695D48">
            <w:pPr>
              <w:pStyle w:val="ListParagraph"/>
              <w:numPr>
                <w:ilvl w:val="0"/>
                <w:numId w:val="3"/>
              </w:numPr>
              <w:spacing w:afterLines="40" w:after="96"/>
              <w:rPr>
                <w:rFonts w:ascii="Arial" w:hAnsi="Arial" w:cs="Arial"/>
                <w:sz w:val="20"/>
                <w:szCs w:val="20"/>
              </w:rPr>
            </w:pPr>
            <w:r w:rsidRPr="00F05ED3">
              <w:rPr>
                <w:rFonts w:ascii="Arial" w:hAnsi="Arial" w:cs="Arial"/>
                <w:sz w:val="20"/>
                <w:szCs w:val="20"/>
              </w:rPr>
              <w:t>Financial rewards through a public Award Ceremony based on achievement of consistent float availability, high transaction values and a clean history of compliance to set regulations</w:t>
            </w:r>
            <w:r w:rsidR="00695D48">
              <w:rPr>
                <w:rFonts w:ascii="Arial" w:hAnsi="Arial" w:cs="Arial"/>
                <w:sz w:val="20"/>
                <w:szCs w:val="20"/>
              </w:rPr>
              <w:t>.</w:t>
            </w:r>
          </w:p>
        </w:tc>
        <w:tc>
          <w:tcPr>
            <w:tcW w:w="2287" w:type="dxa"/>
            <w:gridSpan w:val="4"/>
            <w:shd w:val="clear" w:color="auto" w:fill="FF6600"/>
          </w:tcPr>
          <w:p w:rsidR="0056340B" w:rsidRPr="00D40E88" w:rsidRDefault="0056340B" w:rsidP="00D40E88">
            <w:pPr>
              <w:spacing w:afterLines="40" w:after="96"/>
              <w:rPr>
                <w:rFonts w:ascii="Arial" w:hAnsi="Arial" w:cs="Arial"/>
                <w:sz w:val="20"/>
                <w:szCs w:val="20"/>
              </w:rPr>
            </w:pPr>
          </w:p>
        </w:tc>
        <w:tc>
          <w:tcPr>
            <w:tcW w:w="5628" w:type="dxa"/>
            <w:shd w:val="clear" w:color="auto" w:fill="FFFFFF" w:themeFill="background1"/>
          </w:tcPr>
          <w:p w:rsidR="0056340B" w:rsidRPr="00D40E88" w:rsidRDefault="0056340B" w:rsidP="00D40E88">
            <w:pPr>
              <w:spacing w:afterLines="40" w:after="96"/>
              <w:rPr>
                <w:rFonts w:ascii="Arial" w:hAnsi="Arial" w:cs="Arial"/>
                <w:sz w:val="20"/>
                <w:szCs w:val="20"/>
              </w:rPr>
            </w:pPr>
            <w:r w:rsidRPr="00D40E88">
              <w:rPr>
                <w:rFonts w:ascii="Arial" w:hAnsi="Arial" w:cs="Arial"/>
                <w:sz w:val="20"/>
                <w:szCs w:val="20"/>
              </w:rPr>
              <w:t>Making the benefits explicit may create an upward spiral in business improvement month on month. Reward is a sure motivator to achieve this.</w:t>
            </w:r>
          </w:p>
        </w:tc>
      </w:tr>
    </w:tbl>
    <w:p w:rsidR="00336562" w:rsidRDefault="00336562"/>
    <w:sectPr w:rsidR="00336562" w:rsidSect="0056340B">
      <w:headerReference w:type="default" r:id="rId10"/>
      <w:pgSz w:w="16838" w:h="11906"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40C" w:rsidRDefault="00F0040C" w:rsidP="00CA0CA0">
      <w:pPr>
        <w:spacing w:after="0" w:line="240" w:lineRule="auto"/>
      </w:pPr>
      <w:r>
        <w:separator/>
      </w:r>
    </w:p>
  </w:endnote>
  <w:endnote w:type="continuationSeparator" w:id="0">
    <w:p w:rsidR="00F0040C" w:rsidRDefault="00F0040C" w:rsidP="00CA0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40C" w:rsidRDefault="00F0040C" w:rsidP="00CA0CA0">
      <w:pPr>
        <w:spacing w:after="0" w:line="240" w:lineRule="auto"/>
      </w:pPr>
      <w:r>
        <w:separator/>
      </w:r>
    </w:p>
  </w:footnote>
  <w:footnote w:type="continuationSeparator" w:id="0">
    <w:p w:rsidR="00F0040C" w:rsidRDefault="00F0040C" w:rsidP="00CA0C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3408"/>
    </w:tblGrid>
    <w:tr w:rsidR="00CA0CA0" w:rsidTr="00CA0CA0">
      <w:tc>
        <w:tcPr>
          <w:tcW w:w="1980" w:type="dxa"/>
        </w:tcPr>
        <w:p w:rsidR="00CA0CA0" w:rsidRDefault="00CA0CA0">
          <w:pPr>
            <w:pStyle w:val="Header"/>
          </w:pPr>
          <w:r>
            <w:rPr>
              <w:noProof/>
              <w:lang w:val="en-GB" w:eastAsia="en-GB"/>
            </w:rPr>
            <w:drawing>
              <wp:inline distT="0" distB="0" distL="0" distR="0" wp14:anchorId="069F2C95" wp14:editId="237E04A8">
                <wp:extent cx="983412" cy="463661"/>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ma_mobmon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5190" cy="473929"/>
                        </a:xfrm>
                        <a:prstGeom prst="rect">
                          <a:avLst/>
                        </a:prstGeom>
                      </pic:spPr>
                    </pic:pic>
                  </a:graphicData>
                </a:graphic>
              </wp:inline>
            </w:drawing>
          </w:r>
        </w:p>
      </w:tc>
      <w:tc>
        <w:tcPr>
          <w:tcW w:w="13408" w:type="dxa"/>
          <w:vAlign w:val="center"/>
        </w:tcPr>
        <w:p w:rsidR="00CA0CA0" w:rsidRPr="00CA0CA0" w:rsidRDefault="00CA0CA0" w:rsidP="00634138">
          <w:pPr>
            <w:pStyle w:val="Header"/>
            <w:rPr>
              <w:rFonts w:ascii="Arial" w:hAnsi="Arial" w:cs="Arial"/>
              <w:b/>
            </w:rPr>
          </w:pPr>
          <w:r w:rsidRPr="00CA0CA0">
            <w:rPr>
              <w:rFonts w:ascii="Arial" w:hAnsi="Arial" w:cs="Arial"/>
              <w:b/>
              <w:sz w:val="32"/>
            </w:rPr>
            <w:t xml:space="preserve">Agent Loyalty </w:t>
          </w:r>
          <w:r w:rsidR="00634138">
            <w:rPr>
              <w:rFonts w:ascii="Arial" w:hAnsi="Arial" w:cs="Arial"/>
              <w:b/>
              <w:sz w:val="32"/>
            </w:rPr>
            <w:t>Program Recommendations</w:t>
          </w:r>
        </w:p>
      </w:tc>
    </w:tr>
  </w:tbl>
  <w:p w:rsidR="00CA0CA0" w:rsidRDefault="00CA0CA0" w:rsidP="006341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3F75E1"/>
    <w:multiLevelType w:val="hybridMultilevel"/>
    <w:tmpl w:val="015C88B2"/>
    <w:lvl w:ilvl="0" w:tplc="9AEA7EB6">
      <w:start w:val="1"/>
      <w:numFmt w:val="decimal"/>
      <w:lvlText w:val="%1."/>
      <w:lvlJc w:val="left"/>
      <w:pPr>
        <w:ind w:left="360" w:hanging="360"/>
      </w:pPr>
      <w:rPr>
        <w:rFonts w:hint="default"/>
        <w:b w:val="0"/>
        <w:sz w:val="16"/>
        <w:szCs w:val="16"/>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656A5A3D"/>
    <w:multiLevelType w:val="hybridMultilevel"/>
    <w:tmpl w:val="5C72E17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7AB50DB"/>
    <w:multiLevelType w:val="hybridMultilevel"/>
    <w:tmpl w:val="EC60D140"/>
    <w:lvl w:ilvl="0" w:tplc="896C9A8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40B"/>
    <w:rsid w:val="00227D72"/>
    <w:rsid w:val="00287E41"/>
    <w:rsid w:val="00336562"/>
    <w:rsid w:val="0056340B"/>
    <w:rsid w:val="00567552"/>
    <w:rsid w:val="006066AC"/>
    <w:rsid w:val="00634138"/>
    <w:rsid w:val="00655840"/>
    <w:rsid w:val="00681072"/>
    <w:rsid w:val="00695D48"/>
    <w:rsid w:val="00756436"/>
    <w:rsid w:val="00771987"/>
    <w:rsid w:val="008B072D"/>
    <w:rsid w:val="008D6269"/>
    <w:rsid w:val="00983888"/>
    <w:rsid w:val="00A24EFF"/>
    <w:rsid w:val="00AE17AA"/>
    <w:rsid w:val="00CA0CA0"/>
    <w:rsid w:val="00D40E88"/>
    <w:rsid w:val="00D74C20"/>
    <w:rsid w:val="00DB0E78"/>
    <w:rsid w:val="00F0040C"/>
    <w:rsid w:val="00F05ED3"/>
    <w:rsid w:val="00F5459A"/>
    <w:rsid w:val="00F738E5"/>
    <w:rsid w:val="00FD2C4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0615F95-6563-4CFB-9EF8-2C0EE4D6B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340B"/>
    <w:rPr>
      <w:color w:val="0563C1" w:themeColor="hyperlink"/>
      <w:u w:val="single"/>
    </w:rPr>
  </w:style>
  <w:style w:type="paragraph" w:styleId="ListParagraph">
    <w:name w:val="List Paragraph"/>
    <w:basedOn w:val="Normal"/>
    <w:uiPriority w:val="34"/>
    <w:qFormat/>
    <w:rsid w:val="0056340B"/>
    <w:pPr>
      <w:ind w:left="720"/>
      <w:contextualSpacing/>
    </w:pPr>
    <w:rPr>
      <w:lang w:val="en-GB"/>
    </w:rPr>
  </w:style>
  <w:style w:type="table" w:styleId="TableGrid">
    <w:name w:val="Table Grid"/>
    <w:basedOn w:val="TableNormal"/>
    <w:uiPriority w:val="39"/>
    <w:rsid w:val="00563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34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40B"/>
    <w:rPr>
      <w:rFonts w:ascii="Segoe UI" w:hAnsi="Segoe UI" w:cs="Segoe UI"/>
      <w:sz w:val="18"/>
      <w:szCs w:val="18"/>
    </w:rPr>
  </w:style>
  <w:style w:type="paragraph" w:styleId="Header">
    <w:name w:val="header"/>
    <w:basedOn w:val="Normal"/>
    <w:link w:val="HeaderChar"/>
    <w:uiPriority w:val="99"/>
    <w:unhideWhenUsed/>
    <w:rsid w:val="00CA0C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0CA0"/>
  </w:style>
  <w:style w:type="paragraph" w:styleId="Footer">
    <w:name w:val="footer"/>
    <w:basedOn w:val="Normal"/>
    <w:link w:val="FooterChar"/>
    <w:uiPriority w:val="99"/>
    <w:unhideWhenUsed/>
    <w:rsid w:val="00CA0C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0CA0"/>
  </w:style>
  <w:style w:type="character" w:styleId="CommentReference">
    <w:name w:val="annotation reference"/>
    <w:basedOn w:val="DefaultParagraphFont"/>
    <w:uiPriority w:val="99"/>
    <w:semiHidden/>
    <w:unhideWhenUsed/>
    <w:rsid w:val="00F738E5"/>
    <w:rPr>
      <w:sz w:val="16"/>
      <w:szCs w:val="16"/>
    </w:rPr>
  </w:style>
  <w:style w:type="paragraph" w:styleId="CommentText">
    <w:name w:val="annotation text"/>
    <w:basedOn w:val="Normal"/>
    <w:link w:val="CommentTextChar"/>
    <w:uiPriority w:val="99"/>
    <w:semiHidden/>
    <w:unhideWhenUsed/>
    <w:rsid w:val="00F738E5"/>
    <w:pPr>
      <w:spacing w:line="240" w:lineRule="auto"/>
    </w:pPr>
    <w:rPr>
      <w:sz w:val="20"/>
      <w:szCs w:val="20"/>
    </w:rPr>
  </w:style>
  <w:style w:type="character" w:customStyle="1" w:styleId="CommentTextChar">
    <w:name w:val="Comment Text Char"/>
    <w:basedOn w:val="DefaultParagraphFont"/>
    <w:link w:val="CommentText"/>
    <w:uiPriority w:val="99"/>
    <w:semiHidden/>
    <w:rsid w:val="00F738E5"/>
    <w:rPr>
      <w:sz w:val="20"/>
      <w:szCs w:val="20"/>
    </w:rPr>
  </w:style>
  <w:style w:type="paragraph" w:styleId="CommentSubject">
    <w:name w:val="annotation subject"/>
    <w:basedOn w:val="CommentText"/>
    <w:next w:val="CommentText"/>
    <w:link w:val="CommentSubjectChar"/>
    <w:uiPriority w:val="99"/>
    <w:semiHidden/>
    <w:unhideWhenUsed/>
    <w:rsid w:val="00F738E5"/>
    <w:rPr>
      <w:b/>
      <w:bCs/>
    </w:rPr>
  </w:style>
  <w:style w:type="character" w:customStyle="1" w:styleId="CommentSubjectChar">
    <w:name w:val="Comment Subject Char"/>
    <w:basedOn w:val="CommentTextChar"/>
    <w:link w:val="CommentSubject"/>
    <w:uiPriority w:val="99"/>
    <w:semiHidden/>
    <w:rsid w:val="00F738E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o.co.ke/news/main-stories/Kenya-Commercial-Bank-boosts-MPESA-Agents-with-loan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kopokopo.com/agent-liquidity-and-microfinan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FFF4A105-292D-411A-BE86-4DB84803D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1148</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GSMA</Company>
  <LinksUpToDate>false</LinksUpToDate>
  <CharactersWithSpaces>7677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Shulist</dc:creator>
  <cp:keywords/>
  <dc:description/>
  <cp:lastModifiedBy>Louise Matich</cp:lastModifiedBy>
  <cp:revision>2</cp:revision>
  <dcterms:created xsi:type="dcterms:W3CDTF">2017-04-13T09:24:00Z</dcterms:created>
  <dcterms:modified xsi:type="dcterms:W3CDTF">2017-04-13T09:24:00Z</dcterms:modified>
</cp:coreProperties>
</file>