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0ED3" w14:textId="77777777" w:rsidR="005841D0" w:rsidRDefault="005841D0" w:rsidP="00BC2E54">
      <w:pPr>
        <w:pStyle w:val="NormalParagraph"/>
      </w:pPr>
    </w:p>
    <w:p w14:paraId="52FBE4B5" w14:textId="77777777" w:rsidR="006B5E06" w:rsidRDefault="006B5E06" w:rsidP="006B5E06">
      <w:pPr>
        <w:pStyle w:val="Centredtext"/>
        <w:rPr>
          <w:noProof/>
        </w:rPr>
      </w:pPr>
    </w:p>
    <w:p w14:paraId="2481E7AC" w14:textId="77777777" w:rsidR="006B5E06" w:rsidRDefault="006B5E06" w:rsidP="006B5E06">
      <w:pPr>
        <w:pStyle w:val="Centredtext"/>
        <w:rPr>
          <w:noProof/>
        </w:rPr>
      </w:pPr>
    </w:p>
    <w:p w14:paraId="26A164E3" w14:textId="77777777" w:rsidR="006B5E06" w:rsidRDefault="006B5E06" w:rsidP="006B5E06">
      <w:pPr>
        <w:pStyle w:val="Centredtext"/>
        <w:rPr>
          <w:noProof/>
        </w:rPr>
      </w:pPr>
    </w:p>
    <w:p w14:paraId="18A8232C" w14:textId="77777777" w:rsidR="006B5E06" w:rsidRDefault="006B5E06" w:rsidP="006B5E06">
      <w:pPr>
        <w:pStyle w:val="Centredtext"/>
        <w:rPr>
          <w:noProof/>
        </w:rPr>
      </w:pPr>
    </w:p>
    <w:p w14:paraId="055A0623" w14:textId="77777777" w:rsidR="006B5E06" w:rsidRDefault="006B5E06" w:rsidP="006B5E06">
      <w:pPr>
        <w:pStyle w:val="Centredtext"/>
        <w:rPr>
          <w:noProof/>
        </w:rPr>
      </w:pPr>
    </w:p>
    <w:p w14:paraId="69AA1433" w14:textId="77777777" w:rsidR="006B5E06" w:rsidRDefault="006B5E06" w:rsidP="006B5E06">
      <w:pPr>
        <w:pStyle w:val="Centredtext"/>
        <w:rPr>
          <w:noProof/>
        </w:rPr>
      </w:pPr>
    </w:p>
    <w:p w14:paraId="1457041E" w14:textId="77777777" w:rsidR="006B5E06" w:rsidRDefault="006B5E06" w:rsidP="006B5E06">
      <w:pPr>
        <w:pStyle w:val="Centredtext"/>
        <w:rPr>
          <w:noProof/>
        </w:rPr>
      </w:pPr>
    </w:p>
    <w:p w14:paraId="6945B2A9" w14:textId="77777777" w:rsidR="006B5E06" w:rsidRDefault="006B5E06" w:rsidP="006B5E06">
      <w:pPr>
        <w:pStyle w:val="Centredtext"/>
      </w:pPr>
      <w:r>
        <w:rPr>
          <w:noProof/>
        </w:rPr>
        <w:drawing>
          <wp:inline distT="0" distB="0" distL="0" distR="0" wp14:anchorId="0D884655" wp14:editId="3FFEEC24">
            <wp:extent cx="3431461" cy="538243"/>
            <wp:effectExtent l="0" t="0" r="0" b="0"/>
            <wp:docPr id="1119361797"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61797" name="Picture 1" descr="A red and black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0266" cy="547467"/>
                    </a:xfrm>
                    <a:prstGeom prst="rect">
                      <a:avLst/>
                    </a:prstGeom>
                    <a:noFill/>
                  </pic:spPr>
                </pic:pic>
              </a:graphicData>
            </a:graphic>
          </wp:inline>
        </w:drawing>
      </w:r>
    </w:p>
    <w:p w14:paraId="31E3ED57" w14:textId="78A75C1E" w:rsidR="006B5E06" w:rsidRDefault="00947208" w:rsidP="006B5E06">
      <w:pPr>
        <w:pStyle w:val="Title"/>
      </w:pPr>
      <w:r>
        <w:t>Global Title and Diameter End Point Address Leasing Code of Conduct</w:t>
      </w:r>
      <w:r w:rsidR="006B5E06">
        <w:t xml:space="preserve"> </w:t>
      </w:r>
    </w:p>
    <w:p w14:paraId="1014E452" w14:textId="7770D800" w:rsidR="006B5E06" w:rsidRDefault="006B5E06" w:rsidP="006B5E06">
      <w:pPr>
        <w:pStyle w:val="Title"/>
      </w:pPr>
      <w:r>
        <w:t xml:space="preserve">Version </w:t>
      </w:r>
      <w:sdt>
        <w:sdtPr>
          <w:alias w:val="PRD Version"/>
          <w:tag w:val="GSMAPRDVersion"/>
          <w:id w:val="1841585918"/>
          <w:placeholder>
            <w:docPart w:val="ECC19E83FFED411086BDA5360EE3ED35"/>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4194E9DF-0F6C-4EDD-9ED3-68D2F1B9BD57}"/>
          <w:text/>
        </w:sdtPr>
        <w:sdtContent>
          <w:r w:rsidR="00947208">
            <w:t>2</w:t>
          </w:r>
          <w:r>
            <w:t>.0</w:t>
          </w:r>
        </w:sdtContent>
      </w:sdt>
    </w:p>
    <w:sdt>
      <w:sdtPr>
        <w:alias w:val="Publication Date"/>
        <w:tag w:val="GSMAPublicationDate"/>
        <w:id w:val="1971784293"/>
        <w:placeholder>
          <w:docPart w:val="D29BB96664084D5990914590246E523B"/>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4194E9DF-0F6C-4EDD-9ED3-68D2F1B9BD57}"/>
        <w:date w:fullDate="2025-12-16T00:00:00Z">
          <w:dateFormat w:val="dd MMMM yyyy"/>
          <w:lid w:val="en-GB"/>
          <w:storeMappedDataAs w:val="dateTime"/>
          <w:calendar w:val="gregorian"/>
        </w:date>
      </w:sdtPr>
      <w:sdtContent>
        <w:p w14:paraId="0C87DCBB" w14:textId="77777777" w:rsidR="006B5E06" w:rsidRDefault="006B5E06" w:rsidP="006B5E06">
          <w:pPr>
            <w:pStyle w:val="Title"/>
          </w:pPr>
          <w:r>
            <w:t>16 December 2025</w:t>
          </w:r>
        </w:p>
      </w:sdtContent>
    </w:sdt>
    <w:p w14:paraId="532BBB96" w14:textId="77777777" w:rsidR="006B5E06" w:rsidRDefault="006B5E06" w:rsidP="006B5E06">
      <w:pPr>
        <w:pStyle w:val="Disclaimer"/>
      </w:pPr>
    </w:p>
    <w:p w14:paraId="4FC85889" w14:textId="77777777" w:rsidR="006B5E06" w:rsidRPr="00B3576F" w:rsidRDefault="006B5E06" w:rsidP="006B5E06">
      <w:pPr>
        <w:pStyle w:val="DocInfo"/>
        <w:rPr>
          <w:sz w:val="22"/>
        </w:rPr>
      </w:pPr>
      <w:r w:rsidRPr="00B3576F">
        <w:rPr>
          <w:sz w:val="22"/>
        </w:rPr>
        <w:t xml:space="preserve">Security Classification: </w:t>
      </w:r>
      <w:sdt>
        <w:sdtPr>
          <w:rPr>
            <w:sz w:val="22"/>
          </w:rPr>
          <w:alias w:val="Security Classification"/>
          <w:tag w:val="GSMASecurityGroup"/>
          <w:id w:val="242695237"/>
          <w:placeholder>
            <w:docPart w:val="2D79B9C0A3EE4EFD9B147F71868743E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4194E9DF-0F6C-4EDD-9ED3-68D2F1B9BD57}"/>
          <w:dropDownList>
            <w:listItem w:value="[Security Classification]"/>
          </w:dropDownList>
        </w:sdtPr>
        <w:sdtContent>
          <w:proofErr w:type="gramStart"/>
          <w:r>
            <w:rPr>
              <w:sz w:val="22"/>
            </w:rPr>
            <w:t>Non-confidential</w:t>
          </w:r>
          <w:proofErr w:type="gramEnd"/>
        </w:sdtContent>
      </w:sdt>
    </w:p>
    <w:p w14:paraId="53F960F3" w14:textId="77777777" w:rsidR="006B5E06" w:rsidRDefault="006B5E06" w:rsidP="006B5E06">
      <w:pPr>
        <w:pStyle w:val="DocInfo"/>
        <w:rPr>
          <w:rFonts w:eastAsia="Arial"/>
          <w:b w:val="0"/>
          <w:snapToGrid w:val="0"/>
          <w:sz w:val="14"/>
        </w:rPr>
      </w:pPr>
      <w:r w:rsidRPr="0005644D">
        <w:rPr>
          <w:rFonts w:eastAsia="Arial"/>
          <w:b w:val="0"/>
          <w:snapToGrid w:val="0"/>
          <w:sz w:val="14"/>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21093AAC" w14:textId="77777777" w:rsidR="006B5E06" w:rsidRDefault="006B5E06" w:rsidP="006B5E06">
      <w:pPr>
        <w:pStyle w:val="DocInfo"/>
        <w:rPr>
          <w:rFonts w:eastAsia="Arial Unicode MS"/>
        </w:rPr>
      </w:pPr>
      <w:r>
        <w:t>Copyright Notice</w:t>
      </w:r>
    </w:p>
    <w:p w14:paraId="7A1C9DA4" w14:textId="4EDC1AA9" w:rsidR="006B5E06" w:rsidRDefault="006B5E06" w:rsidP="006B5E06">
      <w:pPr>
        <w:pStyle w:val="CSLegal3"/>
      </w:pPr>
      <w:r>
        <w:t xml:space="preserve">Copyright © </w:t>
      </w:r>
      <w:r w:rsidRPr="007A3C76">
        <w:fldChar w:fldCharType="begin"/>
      </w:r>
      <w:r w:rsidRPr="007A3C76">
        <w:instrText xml:space="preserve"> DATE  \@ "YYYY"  \* MERGEFORMAT </w:instrText>
      </w:r>
      <w:r w:rsidRPr="007A3C76">
        <w:fldChar w:fldCharType="separate"/>
      </w:r>
      <w:r>
        <w:rPr>
          <w:noProof/>
        </w:rPr>
        <w:t>202</w:t>
      </w:r>
      <w:r w:rsidR="00C7693E">
        <w:rPr>
          <w:noProof/>
        </w:rPr>
        <w:t>5</w:t>
      </w:r>
      <w:r w:rsidRPr="007A3C76">
        <w:fldChar w:fldCharType="end"/>
      </w:r>
      <w:r>
        <w:t xml:space="preserve"> GSM Association</w:t>
      </w:r>
    </w:p>
    <w:p w14:paraId="36D88F85" w14:textId="77777777" w:rsidR="006B5E06" w:rsidRPr="00397B86" w:rsidRDefault="006B5E06" w:rsidP="006B5E06">
      <w:pPr>
        <w:pStyle w:val="DocInfo"/>
        <w:spacing w:before="0"/>
      </w:pPr>
      <w:r w:rsidRPr="00397B86">
        <w:t>Disclaimer</w:t>
      </w:r>
    </w:p>
    <w:p w14:paraId="2D06AD5F" w14:textId="77777777" w:rsidR="006B5E06" w:rsidRDefault="006B5E06" w:rsidP="006B5E06">
      <w:pPr>
        <w:pStyle w:val="CSLegal3"/>
      </w:pPr>
      <w:r>
        <w:t xml:space="preserve">The GSMA makes no representation, warranty or undertaking (express or implied) with respect to and does not accept any responsibility </w:t>
      </w:r>
      <w:proofErr w:type="gramStart"/>
      <w:r>
        <w:t>for, and</w:t>
      </w:r>
      <w:proofErr w:type="gramEnd"/>
      <w:r>
        <w:t xml:space="preserve"> hereby disclaims liability for the accuracy or completeness or timeliness of the information contained in this document. The information contained in this document may be subject to change without prior notice.</w:t>
      </w:r>
    </w:p>
    <w:p w14:paraId="7435D6FF" w14:textId="77777777" w:rsidR="006B5E06" w:rsidRDefault="006B5E06" w:rsidP="006B5E06">
      <w:pPr>
        <w:pStyle w:val="DocInfo"/>
        <w:spacing w:before="0"/>
      </w:pPr>
      <w:r w:rsidRPr="701B5C51">
        <w:t>Compliance Notice</w:t>
      </w:r>
    </w:p>
    <w:p w14:paraId="5085EB66" w14:textId="77777777" w:rsidR="006B5E06" w:rsidRDefault="006B5E06" w:rsidP="006B5E06">
      <w:pPr>
        <w:pStyle w:val="CSLegal3"/>
        <w:rPr>
          <w:szCs w:val="14"/>
        </w:rPr>
      </w:pPr>
      <w:r w:rsidRPr="701B5C51">
        <w:rPr>
          <w:szCs w:val="14"/>
        </w:rPr>
        <w:t>The information contain herein is in full compliance with the GSMA Antitrust Compliance Policy.</w:t>
      </w:r>
    </w:p>
    <w:p w14:paraId="3CA47E26" w14:textId="77777777" w:rsidR="006B5E06" w:rsidRDefault="006B5E06" w:rsidP="006B5E06">
      <w:pPr>
        <w:pStyle w:val="CSLegal3"/>
        <w:rPr>
          <w:szCs w:val="14"/>
        </w:rPr>
      </w:pPr>
      <w:r w:rsidRPr="701B5C51">
        <w:rPr>
          <w:szCs w:val="14"/>
        </w:rPr>
        <w:t>This Permanent Reference Document is classified by GSMA as an Industry Specification, as such it has been developed and is maintained by GSMA in accordance with the provisions set out GSMA AA.35 - Procedures for Industry Specifications.</w:t>
      </w:r>
    </w:p>
    <w:p w14:paraId="0F939A42" w14:textId="77777777" w:rsidR="005841D0" w:rsidRDefault="005841D0" w:rsidP="00BC2E54">
      <w:pPr>
        <w:pStyle w:val="TOCHeading"/>
        <w:sectPr w:rsidR="005841D0" w:rsidSect="005841D0">
          <w:headerReference w:type="default" r:id="rId13"/>
          <w:footerReference w:type="default" r:id="rId14"/>
          <w:pgSz w:w="11906" w:h="16838" w:code="9"/>
          <w:pgMar w:top="2948" w:right="1440" w:bottom="1440" w:left="1440" w:header="709" w:footer="709" w:gutter="0"/>
          <w:pgNumType w:start="1"/>
          <w:cols w:space="720"/>
          <w:docGrid w:linePitch="360"/>
        </w:sectPr>
      </w:pPr>
    </w:p>
    <w:p w14:paraId="2C919525" w14:textId="77777777" w:rsidR="005841D0" w:rsidRDefault="005841D0" w:rsidP="00BC2E54">
      <w:pPr>
        <w:pStyle w:val="TOCHeading"/>
      </w:pPr>
      <w:r>
        <w:lastRenderedPageBreak/>
        <w:t>Table of Contents</w:t>
      </w:r>
    </w:p>
    <w:p w14:paraId="5BD81CA1" w14:textId="433B6CC0" w:rsidR="00C02D72" w:rsidRDefault="005841D0">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216786433" w:history="1">
        <w:r w:rsidR="00C02D72" w:rsidRPr="00E30F35">
          <w:rPr>
            <w:rStyle w:val="Hyperlink"/>
          </w:rPr>
          <w:t>1</w:t>
        </w:r>
        <w:r w:rsidR="00C02D72">
          <w:rPr>
            <w:rFonts w:asciiTheme="minorHAnsi" w:eastAsiaTheme="minorEastAsia" w:hAnsiTheme="minorHAnsi" w:cstheme="minorBidi"/>
            <w:b w:val="0"/>
            <w:kern w:val="2"/>
            <w:sz w:val="24"/>
            <w:szCs w:val="24"/>
            <w:lang w:eastAsia="en-GB" w:bidi="ar-SA"/>
            <w14:ligatures w14:val="standardContextual"/>
          </w:rPr>
          <w:tab/>
        </w:r>
        <w:r w:rsidR="00C02D72" w:rsidRPr="00E30F35">
          <w:rPr>
            <w:rStyle w:val="Hyperlink"/>
          </w:rPr>
          <w:t>Introduction</w:t>
        </w:r>
        <w:r w:rsidR="00C02D72">
          <w:rPr>
            <w:webHidden/>
          </w:rPr>
          <w:tab/>
        </w:r>
        <w:r w:rsidR="00C02D72">
          <w:rPr>
            <w:webHidden/>
          </w:rPr>
          <w:fldChar w:fldCharType="begin"/>
        </w:r>
        <w:r w:rsidR="00C02D72">
          <w:rPr>
            <w:webHidden/>
          </w:rPr>
          <w:instrText xml:space="preserve"> PAGEREF _Toc216786433 \h </w:instrText>
        </w:r>
        <w:r w:rsidR="00C02D72">
          <w:rPr>
            <w:webHidden/>
          </w:rPr>
        </w:r>
        <w:r w:rsidR="00C02D72">
          <w:rPr>
            <w:webHidden/>
          </w:rPr>
          <w:fldChar w:fldCharType="separate"/>
        </w:r>
        <w:r w:rsidR="00C7693E">
          <w:rPr>
            <w:webHidden/>
          </w:rPr>
          <w:t>3</w:t>
        </w:r>
        <w:r w:rsidR="00C02D72">
          <w:rPr>
            <w:webHidden/>
          </w:rPr>
          <w:fldChar w:fldCharType="end"/>
        </w:r>
      </w:hyperlink>
    </w:p>
    <w:p w14:paraId="0CCF3850" w14:textId="3E4604D5" w:rsidR="00C02D72" w:rsidRDefault="00C02D72">
      <w:pPr>
        <w:pStyle w:val="TOC2"/>
        <w:rPr>
          <w:rFonts w:asciiTheme="minorHAnsi" w:eastAsiaTheme="minorEastAsia" w:hAnsiTheme="minorHAnsi" w:cstheme="minorBidi"/>
          <w:kern w:val="2"/>
          <w:sz w:val="24"/>
          <w:lang w:bidi="ar-SA"/>
          <w14:ligatures w14:val="standardContextual"/>
        </w:rPr>
      </w:pPr>
      <w:hyperlink w:anchor="_Toc216786434" w:history="1">
        <w:r w:rsidRPr="00E30F35">
          <w:rPr>
            <w:rStyle w:val="Hyperlink"/>
          </w:rPr>
          <w:t>1.1</w:t>
        </w:r>
        <w:r>
          <w:rPr>
            <w:rFonts w:asciiTheme="minorHAnsi" w:eastAsiaTheme="minorEastAsia" w:hAnsiTheme="minorHAnsi" w:cstheme="minorBidi"/>
            <w:kern w:val="2"/>
            <w:sz w:val="24"/>
            <w:lang w:bidi="ar-SA"/>
            <w14:ligatures w14:val="standardContextual"/>
          </w:rPr>
          <w:tab/>
        </w:r>
        <w:r w:rsidRPr="00E30F35">
          <w:rPr>
            <w:rStyle w:val="Hyperlink"/>
          </w:rPr>
          <w:t>Overview</w:t>
        </w:r>
        <w:r>
          <w:rPr>
            <w:webHidden/>
          </w:rPr>
          <w:tab/>
        </w:r>
        <w:r>
          <w:rPr>
            <w:webHidden/>
          </w:rPr>
          <w:fldChar w:fldCharType="begin"/>
        </w:r>
        <w:r>
          <w:rPr>
            <w:webHidden/>
          </w:rPr>
          <w:instrText xml:space="preserve"> PAGEREF _Toc216786434 \h </w:instrText>
        </w:r>
        <w:r>
          <w:rPr>
            <w:webHidden/>
          </w:rPr>
        </w:r>
        <w:r>
          <w:rPr>
            <w:webHidden/>
          </w:rPr>
          <w:fldChar w:fldCharType="separate"/>
        </w:r>
        <w:r w:rsidR="00C7693E">
          <w:rPr>
            <w:webHidden/>
          </w:rPr>
          <w:t>3</w:t>
        </w:r>
        <w:r>
          <w:rPr>
            <w:webHidden/>
          </w:rPr>
          <w:fldChar w:fldCharType="end"/>
        </w:r>
      </w:hyperlink>
    </w:p>
    <w:p w14:paraId="04B01727" w14:textId="42F6BE19" w:rsidR="00C02D72" w:rsidRDefault="00C02D72">
      <w:pPr>
        <w:pStyle w:val="TOC2"/>
        <w:rPr>
          <w:rFonts w:asciiTheme="minorHAnsi" w:eastAsiaTheme="minorEastAsia" w:hAnsiTheme="minorHAnsi" w:cstheme="minorBidi"/>
          <w:kern w:val="2"/>
          <w:sz w:val="24"/>
          <w:lang w:bidi="ar-SA"/>
          <w14:ligatures w14:val="standardContextual"/>
        </w:rPr>
      </w:pPr>
      <w:hyperlink w:anchor="_Toc216786435" w:history="1">
        <w:r w:rsidRPr="00E30F35">
          <w:rPr>
            <w:rStyle w:val="Hyperlink"/>
          </w:rPr>
          <w:t>1.2</w:t>
        </w:r>
        <w:r>
          <w:rPr>
            <w:rFonts w:asciiTheme="minorHAnsi" w:eastAsiaTheme="minorEastAsia" w:hAnsiTheme="minorHAnsi" w:cstheme="minorBidi"/>
            <w:kern w:val="2"/>
            <w:sz w:val="24"/>
            <w:lang w:bidi="ar-SA"/>
            <w14:ligatures w14:val="standardContextual"/>
          </w:rPr>
          <w:tab/>
        </w:r>
        <w:r w:rsidRPr="00E30F35">
          <w:rPr>
            <w:rStyle w:val="Hyperlink"/>
          </w:rPr>
          <w:t>Scope</w:t>
        </w:r>
        <w:r>
          <w:rPr>
            <w:webHidden/>
          </w:rPr>
          <w:tab/>
        </w:r>
        <w:r>
          <w:rPr>
            <w:webHidden/>
          </w:rPr>
          <w:fldChar w:fldCharType="begin"/>
        </w:r>
        <w:r>
          <w:rPr>
            <w:webHidden/>
          </w:rPr>
          <w:instrText xml:space="preserve"> PAGEREF _Toc216786435 \h </w:instrText>
        </w:r>
        <w:r>
          <w:rPr>
            <w:webHidden/>
          </w:rPr>
        </w:r>
        <w:r>
          <w:rPr>
            <w:webHidden/>
          </w:rPr>
          <w:fldChar w:fldCharType="separate"/>
        </w:r>
        <w:r w:rsidR="00C7693E">
          <w:rPr>
            <w:webHidden/>
          </w:rPr>
          <w:t>3</w:t>
        </w:r>
        <w:r>
          <w:rPr>
            <w:webHidden/>
          </w:rPr>
          <w:fldChar w:fldCharType="end"/>
        </w:r>
      </w:hyperlink>
    </w:p>
    <w:p w14:paraId="7274EE95" w14:textId="10B6EC89" w:rsidR="00C02D72" w:rsidRDefault="00C02D72">
      <w:pPr>
        <w:pStyle w:val="TOC2"/>
        <w:rPr>
          <w:rFonts w:asciiTheme="minorHAnsi" w:eastAsiaTheme="minorEastAsia" w:hAnsiTheme="minorHAnsi" w:cstheme="minorBidi"/>
          <w:kern w:val="2"/>
          <w:sz w:val="24"/>
          <w:lang w:bidi="ar-SA"/>
          <w14:ligatures w14:val="standardContextual"/>
        </w:rPr>
      </w:pPr>
      <w:hyperlink w:anchor="_Toc216786436" w:history="1">
        <w:r w:rsidRPr="00E30F35">
          <w:rPr>
            <w:rStyle w:val="Hyperlink"/>
          </w:rPr>
          <w:t>1.3</w:t>
        </w:r>
        <w:r>
          <w:rPr>
            <w:rFonts w:asciiTheme="minorHAnsi" w:eastAsiaTheme="minorEastAsia" w:hAnsiTheme="minorHAnsi" w:cstheme="minorBidi"/>
            <w:kern w:val="2"/>
            <w:sz w:val="24"/>
            <w:lang w:bidi="ar-SA"/>
            <w14:ligatures w14:val="standardContextual"/>
          </w:rPr>
          <w:tab/>
        </w:r>
        <w:r w:rsidRPr="00E30F35">
          <w:rPr>
            <w:rStyle w:val="Hyperlink"/>
          </w:rPr>
          <w:t>Definitions</w:t>
        </w:r>
        <w:r>
          <w:rPr>
            <w:webHidden/>
          </w:rPr>
          <w:tab/>
        </w:r>
        <w:r>
          <w:rPr>
            <w:webHidden/>
          </w:rPr>
          <w:fldChar w:fldCharType="begin"/>
        </w:r>
        <w:r>
          <w:rPr>
            <w:webHidden/>
          </w:rPr>
          <w:instrText xml:space="preserve"> PAGEREF _Toc216786436 \h </w:instrText>
        </w:r>
        <w:r>
          <w:rPr>
            <w:webHidden/>
          </w:rPr>
        </w:r>
        <w:r>
          <w:rPr>
            <w:webHidden/>
          </w:rPr>
          <w:fldChar w:fldCharType="separate"/>
        </w:r>
        <w:r w:rsidR="00C7693E">
          <w:rPr>
            <w:webHidden/>
          </w:rPr>
          <w:t>4</w:t>
        </w:r>
        <w:r>
          <w:rPr>
            <w:webHidden/>
          </w:rPr>
          <w:fldChar w:fldCharType="end"/>
        </w:r>
      </w:hyperlink>
    </w:p>
    <w:p w14:paraId="0AF1CBE9" w14:textId="398DB53C" w:rsidR="00C02D72" w:rsidRDefault="00C02D72">
      <w:pPr>
        <w:pStyle w:val="TOC2"/>
        <w:rPr>
          <w:rFonts w:asciiTheme="minorHAnsi" w:eastAsiaTheme="minorEastAsia" w:hAnsiTheme="minorHAnsi" w:cstheme="minorBidi"/>
          <w:kern w:val="2"/>
          <w:sz w:val="24"/>
          <w:lang w:bidi="ar-SA"/>
          <w14:ligatures w14:val="standardContextual"/>
        </w:rPr>
      </w:pPr>
      <w:hyperlink w:anchor="_Toc216786437" w:history="1">
        <w:r w:rsidRPr="00E30F35">
          <w:rPr>
            <w:rStyle w:val="Hyperlink"/>
          </w:rPr>
          <w:t>1.4</w:t>
        </w:r>
        <w:r>
          <w:rPr>
            <w:rFonts w:asciiTheme="minorHAnsi" w:eastAsiaTheme="minorEastAsia" w:hAnsiTheme="minorHAnsi" w:cstheme="minorBidi"/>
            <w:kern w:val="2"/>
            <w:sz w:val="24"/>
            <w:lang w:bidi="ar-SA"/>
            <w14:ligatures w14:val="standardContextual"/>
          </w:rPr>
          <w:tab/>
        </w:r>
        <w:r w:rsidRPr="00E30F35">
          <w:rPr>
            <w:rStyle w:val="Hyperlink"/>
          </w:rPr>
          <w:t>Abbreviations</w:t>
        </w:r>
        <w:r>
          <w:rPr>
            <w:webHidden/>
          </w:rPr>
          <w:tab/>
        </w:r>
        <w:r>
          <w:rPr>
            <w:webHidden/>
          </w:rPr>
          <w:fldChar w:fldCharType="begin"/>
        </w:r>
        <w:r>
          <w:rPr>
            <w:webHidden/>
          </w:rPr>
          <w:instrText xml:space="preserve"> PAGEREF _Toc216786437 \h </w:instrText>
        </w:r>
        <w:r>
          <w:rPr>
            <w:webHidden/>
          </w:rPr>
        </w:r>
        <w:r>
          <w:rPr>
            <w:webHidden/>
          </w:rPr>
          <w:fldChar w:fldCharType="separate"/>
        </w:r>
        <w:r w:rsidR="00C7693E">
          <w:rPr>
            <w:webHidden/>
          </w:rPr>
          <w:t>4</w:t>
        </w:r>
        <w:r>
          <w:rPr>
            <w:webHidden/>
          </w:rPr>
          <w:fldChar w:fldCharType="end"/>
        </w:r>
      </w:hyperlink>
    </w:p>
    <w:p w14:paraId="79284DD5" w14:textId="757DD86C" w:rsidR="00C02D72" w:rsidRDefault="00C02D72">
      <w:pPr>
        <w:pStyle w:val="TOC2"/>
        <w:rPr>
          <w:rFonts w:asciiTheme="minorHAnsi" w:eastAsiaTheme="minorEastAsia" w:hAnsiTheme="minorHAnsi" w:cstheme="minorBidi"/>
          <w:kern w:val="2"/>
          <w:sz w:val="24"/>
          <w:lang w:bidi="ar-SA"/>
          <w14:ligatures w14:val="standardContextual"/>
        </w:rPr>
      </w:pPr>
      <w:hyperlink w:anchor="_Toc216786438" w:history="1">
        <w:r w:rsidRPr="00E30F35">
          <w:rPr>
            <w:rStyle w:val="Hyperlink"/>
          </w:rPr>
          <w:t>1.5</w:t>
        </w:r>
        <w:r>
          <w:rPr>
            <w:rFonts w:asciiTheme="minorHAnsi" w:eastAsiaTheme="minorEastAsia" w:hAnsiTheme="minorHAnsi" w:cstheme="minorBidi"/>
            <w:kern w:val="2"/>
            <w:sz w:val="24"/>
            <w:lang w:bidi="ar-SA"/>
            <w14:ligatures w14:val="standardContextual"/>
          </w:rPr>
          <w:tab/>
        </w:r>
        <w:r w:rsidRPr="00E30F35">
          <w:rPr>
            <w:rStyle w:val="Hyperlink"/>
          </w:rPr>
          <w:t>References</w:t>
        </w:r>
        <w:r>
          <w:rPr>
            <w:webHidden/>
          </w:rPr>
          <w:tab/>
        </w:r>
        <w:r>
          <w:rPr>
            <w:webHidden/>
          </w:rPr>
          <w:fldChar w:fldCharType="begin"/>
        </w:r>
        <w:r>
          <w:rPr>
            <w:webHidden/>
          </w:rPr>
          <w:instrText xml:space="preserve"> PAGEREF _Toc216786438 \h </w:instrText>
        </w:r>
        <w:r>
          <w:rPr>
            <w:webHidden/>
          </w:rPr>
        </w:r>
        <w:r>
          <w:rPr>
            <w:webHidden/>
          </w:rPr>
          <w:fldChar w:fldCharType="separate"/>
        </w:r>
        <w:r w:rsidR="00C7693E">
          <w:rPr>
            <w:webHidden/>
          </w:rPr>
          <w:t>5</w:t>
        </w:r>
        <w:r>
          <w:rPr>
            <w:webHidden/>
          </w:rPr>
          <w:fldChar w:fldCharType="end"/>
        </w:r>
      </w:hyperlink>
    </w:p>
    <w:p w14:paraId="1A3EDA52" w14:textId="2E607B55" w:rsidR="00C02D72" w:rsidRDefault="00C02D72">
      <w:pPr>
        <w:pStyle w:val="TOC2"/>
        <w:rPr>
          <w:rFonts w:asciiTheme="minorHAnsi" w:eastAsiaTheme="minorEastAsia" w:hAnsiTheme="minorHAnsi" w:cstheme="minorBidi"/>
          <w:kern w:val="2"/>
          <w:sz w:val="24"/>
          <w:lang w:bidi="ar-SA"/>
          <w14:ligatures w14:val="standardContextual"/>
        </w:rPr>
      </w:pPr>
      <w:hyperlink w:anchor="_Toc216786439" w:history="1">
        <w:r w:rsidRPr="00E30F35">
          <w:rPr>
            <w:rStyle w:val="Hyperlink"/>
          </w:rPr>
          <w:t>1.6</w:t>
        </w:r>
        <w:r>
          <w:rPr>
            <w:rFonts w:asciiTheme="minorHAnsi" w:eastAsiaTheme="minorEastAsia" w:hAnsiTheme="minorHAnsi" w:cstheme="minorBidi"/>
            <w:kern w:val="2"/>
            <w:sz w:val="24"/>
            <w:lang w:bidi="ar-SA"/>
            <w14:ligatures w14:val="standardContextual"/>
          </w:rPr>
          <w:tab/>
        </w:r>
        <w:r w:rsidRPr="00E30F35">
          <w:rPr>
            <w:rStyle w:val="Hyperlink"/>
          </w:rPr>
          <w:t>Conventions</w:t>
        </w:r>
        <w:r>
          <w:rPr>
            <w:webHidden/>
          </w:rPr>
          <w:tab/>
        </w:r>
        <w:r>
          <w:rPr>
            <w:webHidden/>
          </w:rPr>
          <w:fldChar w:fldCharType="begin"/>
        </w:r>
        <w:r>
          <w:rPr>
            <w:webHidden/>
          </w:rPr>
          <w:instrText xml:space="preserve"> PAGEREF _Toc216786439 \h </w:instrText>
        </w:r>
        <w:r>
          <w:rPr>
            <w:webHidden/>
          </w:rPr>
        </w:r>
        <w:r>
          <w:rPr>
            <w:webHidden/>
          </w:rPr>
          <w:fldChar w:fldCharType="separate"/>
        </w:r>
        <w:r w:rsidR="00C7693E">
          <w:rPr>
            <w:webHidden/>
          </w:rPr>
          <w:t>5</w:t>
        </w:r>
        <w:r>
          <w:rPr>
            <w:webHidden/>
          </w:rPr>
          <w:fldChar w:fldCharType="end"/>
        </w:r>
      </w:hyperlink>
    </w:p>
    <w:p w14:paraId="784A2BAA" w14:textId="12A915BA" w:rsidR="00C02D72" w:rsidRDefault="00C02D72">
      <w:pPr>
        <w:pStyle w:val="TOC1"/>
        <w:rPr>
          <w:rFonts w:asciiTheme="minorHAnsi" w:eastAsiaTheme="minorEastAsia" w:hAnsiTheme="minorHAnsi" w:cstheme="minorBidi"/>
          <w:b w:val="0"/>
          <w:kern w:val="2"/>
          <w:sz w:val="24"/>
          <w:szCs w:val="24"/>
          <w:lang w:eastAsia="en-GB" w:bidi="ar-SA"/>
          <w14:ligatures w14:val="standardContextual"/>
        </w:rPr>
      </w:pPr>
      <w:hyperlink w:anchor="_Toc216786440" w:history="1">
        <w:r w:rsidRPr="00E30F35">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Global Title Leasing</w:t>
        </w:r>
        <w:r>
          <w:rPr>
            <w:webHidden/>
          </w:rPr>
          <w:tab/>
        </w:r>
        <w:r>
          <w:rPr>
            <w:webHidden/>
          </w:rPr>
          <w:fldChar w:fldCharType="begin"/>
        </w:r>
        <w:r>
          <w:rPr>
            <w:webHidden/>
          </w:rPr>
          <w:instrText xml:space="preserve"> PAGEREF _Toc216786440 \h </w:instrText>
        </w:r>
        <w:r>
          <w:rPr>
            <w:webHidden/>
          </w:rPr>
        </w:r>
        <w:r>
          <w:rPr>
            <w:webHidden/>
          </w:rPr>
          <w:fldChar w:fldCharType="separate"/>
        </w:r>
        <w:r w:rsidR="00C7693E">
          <w:rPr>
            <w:webHidden/>
          </w:rPr>
          <w:t>5</w:t>
        </w:r>
        <w:r>
          <w:rPr>
            <w:webHidden/>
          </w:rPr>
          <w:fldChar w:fldCharType="end"/>
        </w:r>
      </w:hyperlink>
    </w:p>
    <w:p w14:paraId="507A1B95" w14:textId="503738B8" w:rsidR="00C02D72" w:rsidRDefault="00C02D72">
      <w:pPr>
        <w:pStyle w:val="TOC2"/>
        <w:rPr>
          <w:rFonts w:asciiTheme="minorHAnsi" w:eastAsiaTheme="minorEastAsia" w:hAnsiTheme="minorHAnsi" w:cstheme="minorBidi"/>
          <w:kern w:val="2"/>
          <w:sz w:val="24"/>
          <w:lang w:bidi="ar-SA"/>
          <w14:ligatures w14:val="standardContextual"/>
        </w:rPr>
      </w:pPr>
      <w:hyperlink w:anchor="_Toc216786441" w:history="1">
        <w:r w:rsidRPr="00E30F35">
          <w:rPr>
            <w:rStyle w:val="Hyperlink"/>
          </w:rPr>
          <w:t>2.1</w:t>
        </w:r>
        <w:r>
          <w:rPr>
            <w:rFonts w:asciiTheme="minorHAnsi" w:eastAsiaTheme="minorEastAsia" w:hAnsiTheme="minorHAnsi" w:cstheme="minorBidi"/>
            <w:kern w:val="2"/>
            <w:sz w:val="24"/>
            <w:lang w:bidi="ar-SA"/>
            <w14:ligatures w14:val="standardContextual"/>
          </w:rPr>
          <w:tab/>
        </w:r>
        <w:r w:rsidRPr="00E30F35">
          <w:rPr>
            <w:rStyle w:val="Hyperlink"/>
          </w:rPr>
          <w:t>Introduction to Global Titles</w:t>
        </w:r>
        <w:r>
          <w:rPr>
            <w:webHidden/>
          </w:rPr>
          <w:tab/>
        </w:r>
        <w:r>
          <w:rPr>
            <w:webHidden/>
          </w:rPr>
          <w:fldChar w:fldCharType="begin"/>
        </w:r>
        <w:r>
          <w:rPr>
            <w:webHidden/>
          </w:rPr>
          <w:instrText xml:space="preserve"> PAGEREF _Toc216786441 \h </w:instrText>
        </w:r>
        <w:r>
          <w:rPr>
            <w:webHidden/>
          </w:rPr>
        </w:r>
        <w:r>
          <w:rPr>
            <w:webHidden/>
          </w:rPr>
          <w:fldChar w:fldCharType="separate"/>
        </w:r>
        <w:r w:rsidR="00C7693E">
          <w:rPr>
            <w:webHidden/>
          </w:rPr>
          <w:t>5</w:t>
        </w:r>
        <w:r>
          <w:rPr>
            <w:webHidden/>
          </w:rPr>
          <w:fldChar w:fldCharType="end"/>
        </w:r>
      </w:hyperlink>
    </w:p>
    <w:p w14:paraId="778102A9" w14:textId="2B176EAC" w:rsidR="00C02D72" w:rsidRDefault="00C02D72">
      <w:pPr>
        <w:pStyle w:val="TOC2"/>
        <w:rPr>
          <w:rFonts w:asciiTheme="minorHAnsi" w:eastAsiaTheme="minorEastAsia" w:hAnsiTheme="minorHAnsi" w:cstheme="minorBidi"/>
          <w:kern w:val="2"/>
          <w:sz w:val="24"/>
          <w:lang w:bidi="ar-SA"/>
          <w14:ligatures w14:val="standardContextual"/>
        </w:rPr>
      </w:pPr>
      <w:hyperlink w:anchor="_Toc216786442" w:history="1">
        <w:r w:rsidRPr="00E30F35">
          <w:rPr>
            <w:rStyle w:val="Hyperlink"/>
          </w:rPr>
          <w:t>2.2</w:t>
        </w:r>
        <w:r>
          <w:rPr>
            <w:rFonts w:asciiTheme="minorHAnsi" w:eastAsiaTheme="minorEastAsia" w:hAnsiTheme="minorHAnsi" w:cstheme="minorBidi"/>
            <w:kern w:val="2"/>
            <w:sz w:val="24"/>
            <w:lang w:bidi="ar-SA"/>
            <w14:ligatures w14:val="standardContextual"/>
          </w:rPr>
          <w:tab/>
        </w:r>
        <w:r w:rsidRPr="00E30F35">
          <w:rPr>
            <w:rStyle w:val="Hyperlink"/>
          </w:rPr>
          <w:t>GT Leasing Parties</w:t>
        </w:r>
        <w:r>
          <w:rPr>
            <w:webHidden/>
          </w:rPr>
          <w:tab/>
        </w:r>
        <w:r>
          <w:rPr>
            <w:webHidden/>
          </w:rPr>
          <w:fldChar w:fldCharType="begin"/>
        </w:r>
        <w:r>
          <w:rPr>
            <w:webHidden/>
          </w:rPr>
          <w:instrText xml:space="preserve"> PAGEREF _Toc216786442 \h </w:instrText>
        </w:r>
        <w:r>
          <w:rPr>
            <w:webHidden/>
          </w:rPr>
        </w:r>
        <w:r>
          <w:rPr>
            <w:webHidden/>
          </w:rPr>
          <w:fldChar w:fldCharType="separate"/>
        </w:r>
        <w:r w:rsidR="00C7693E">
          <w:rPr>
            <w:webHidden/>
          </w:rPr>
          <w:t>6</w:t>
        </w:r>
        <w:r>
          <w:rPr>
            <w:webHidden/>
          </w:rPr>
          <w:fldChar w:fldCharType="end"/>
        </w:r>
      </w:hyperlink>
    </w:p>
    <w:p w14:paraId="2B4FFDF0" w14:textId="6FA02090" w:rsidR="00C02D72" w:rsidRDefault="00C02D72">
      <w:pPr>
        <w:pStyle w:val="TOC2"/>
        <w:rPr>
          <w:rFonts w:asciiTheme="minorHAnsi" w:eastAsiaTheme="minorEastAsia" w:hAnsiTheme="minorHAnsi" w:cstheme="minorBidi"/>
          <w:kern w:val="2"/>
          <w:sz w:val="24"/>
          <w:lang w:bidi="ar-SA"/>
          <w14:ligatures w14:val="standardContextual"/>
        </w:rPr>
      </w:pPr>
      <w:hyperlink w:anchor="_Toc216786443" w:history="1">
        <w:r w:rsidRPr="00E30F35">
          <w:rPr>
            <w:rStyle w:val="Hyperlink"/>
          </w:rPr>
          <w:t>2.3</w:t>
        </w:r>
        <w:r>
          <w:rPr>
            <w:rFonts w:asciiTheme="minorHAnsi" w:eastAsiaTheme="minorEastAsia" w:hAnsiTheme="minorHAnsi" w:cstheme="minorBidi"/>
            <w:kern w:val="2"/>
            <w:sz w:val="24"/>
            <w:lang w:bidi="ar-SA"/>
            <w14:ligatures w14:val="standardContextual"/>
          </w:rPr>
          <w:tab/>
        </w:r>
        <w:r w:rsidRPr="00E30F35">
          <w:rPr>
            <w:rStyle w:val="Hyperlink"/>
          </w:rPr>
          <w:t>Benefits of GT Leasing</w:t>
        </w:r>
        <w:r>
          <w:rPr>
            <w:webHidden/>
          </w:rPr>
          <w:tab/>
        </w:r>
        <w:r>
          <w:rPr>
            <w:webHidden/>
          </w:rPr>
          <w:fldChar w:fldCharType="begin"/>
        </w:r>
        <w:r>
          <w:rPr>
            <w:webHidden/>
          </w:rPr>
          <w:instrText xml:space="preserve"> PAGEREF _Toc216786443 \h </w:instrText>
        </w:r>
        <w:r>
          <w:rPr>
            <w:webHidden/>
          </w:rPr>
        </w:r>
        <w:r>
          <w:rPr>
            <w:webHidden/>
          </w:rPr>
          <w:fldChar w:fldCharType="separate"/>
        </w:r>
        <w:r w:rsidR="00C7693E">
          <w:rPr>
            <w:webHidden/>
          </w:rPr>
          <w:t>6</w:t>
        </w:r>
        <w:r>
          <w:rPr>
            <w:webHidden/>
          </w:rPr>
          <w:fldChar w:fldCharType="end"/>
        </w:r>
      </w:hyperlink>
    </w:p>
    <w:p w14:paraId="36CDB36F" w14:textId="11F32D91" w:rsidR="00C02D72" w:rsidRDefault="00C02D72">
      <w:pPr>
        <w:pStyle w:val="TOC2"/>
        <w:rPr>
          <w:rFonts w:asciiTheme="minorHAnsi" w:eastAsiaTheme="minorEastAsia" w:hAnsiTheme="minorHAnsi" w:cstheme="minorBidi"/>
          <w:kern w:val="2"/>
          <w:sz w:val="24"/>
          <w:lang w:bidi="ar-SA"/>
          <w14:ligatures w14:val="standardContextual"/>
        </w:rPr>
      </w:pPr>
      <w:hyperlink w:anchor="_Toc216786444" w:history="1">
        <w:r w:rsidRPr="00E30F35">
          <w:rPr>
            <w:rStyle w:val="Hyperlink"/>
          </w:rPr>
          <w:t>2.4</w:t>
        </w:r>
        <w:r>
          <w:rPr>
            <w:rFonts w:asciiTheme="minorHAnsi" w:eastAsiaTheme="minorEastAsia" w:hAnsiTheme="minorHAnsi" w:cstheme="minorBidi"/>
            <w:kern w:val="2"/>
            <w:sz w:val="24"/>
            <w:lang w:bidi="ar-SA"/>
            <w14:ligatures w14:val="standardContextual"/>
          </w:rPr>
          <w:tab/>
        </w:r>
        <w:r w:rsidRPr="00E30F35">
          <w:rPr>
            <w:rStyle w:val="Hyperlink"/>
          </w:rPr>
          <w:t>Issues and Concerns with GT Leasing</w:t>
        </w:r>
        <w:r>
          <w:rPr>
            <w:webHidden/>
          </w:rPr>
          <w:tab/>
        </w:r>
        <w:r>
          <w:rPr>
            <w:webHidden/>
          </w:rPr>
          <w:fldChar w:fldCharType="begin"/>
        </w:r>
        <w:r>
          <w:rPr>
            <w:webHidden/>
          </w:rPr>
          <w:instrText xml:space="preserve"> PAGEREF _Toc216786444 \h </w:instrText>
        </w:r>
        <w:r>
          <w:rPr>
            <w:webHidden/>
          </w:rPr>
        </w:r>
        <w:r>
          <w:rPr>
            <w:webHidden/>
          </w:rPr>
          <w:fldChar w:fldCharType="separate"/>
        </w:r>
        <w:r w:rsidR="00C7693E">
          <w:rPr>
            <w:webHidden/>
          </w:rPr>
          <w:t>7</w:t>
        </w:r>
        <w:r>
          <w:rPr>
            <w:webHidden/>
          </w:rPr>
          <w:fldChar w:fldCharType="end"/>
        </w:r>
      </w:hyperlink>
    </w:p>
    <w:p w14:paraId="0C697B99" w14:textId="3047A2AE" w:rsidR="00C02D72" w:rsidRDefault="00C02D72">
      <w:pPr>
        <w:pStyle w:val="TOC2"/>
        <w:rPr>
          <w:rFonts w:asciiTheme="minorHAnsi" w:eastAsiaTheme="minorEastAsia" w:hAnsiTheme="minorHAnsi" w:cstheme="minorBidi"/>
          <w:kern w:val="2"/>
          <w:sz w:val="24"/>
          <w:lang w:bidi="ar-SA"/>
          <w14:ligatures w14:val="standardContextual"/>
        </w:rPr>
      </w:pPr>
      <w:hyperlink w:anchor="_Toc216786445" w:history="1">
        <w:r w:rsidRPr="00E30F35">
          <w:rPr>
            <w:rStyle w:val="Hyperlink"/>
          </w:rPr>
          <w:t>2.5</w:t>
        </w:r>
        <w:r>
          <w:rPr>
            <w:rFonts w:asciiTheme="minorHAnsi" w:eastAsiaTheme="minorEastAsia" w:hAnsiTheme="minorHAnsi" w:cstheme="minorBidi"/>
            <w:kern w:val="2"/>
            <w:sz w:val="24"/>
            <w:lang w:bidi="ar-SA"/>
            <w14:ligatures w14:val="standardContextual"/>
          </w:rPr>
          <w:tab/>
        </w:r>
        <w:r w:rsidRPr="00E30F35">
          <w:rPr>
            <w:rStyle w:val="Hyperlink"/>
          </w:rPr>
          <w:t>Potential impacts of GT Leasing and GT Sub-Leasing to the GT Lessor</w:t>
        </w:r>
        <w:r>
          <w:rPr>
            <w:webHidden/>
          </w:rPr>
          <w:tab/>
        </w:r>
        <w:r>
          <w:rPr>
            <w:webHidden/>
          </w:rPr>
          <w:fldChar w:fldCharType="begin"/>
        </w:r>
        <w:r>
          <w:rPr>
            <w:webHidden/>
          </w:rPr>
          <w:instrText xml:space="preserve"> PAGEREF _Toc216786445 \h </w:instrText>
        </w:r>
        <w:r>
          <w:rPr>
            <w:webHidden/>
          </w:rPr>
        </w:r>
        <w:r>
          <w:rPr>
            <w:webHidden/>
          </w:rPr>
          <w:fldChar w:fldCharType="separate"/>
        </w:r>
        <w:r w:rsidR="00C7693E">
          <w:rPr>
            <w:webHidden/>
          </w:rPr>
          <w:t>8</w:t>
        </w:r>
        <w:r>
          <w:rPr>
            <w:webHidden/>
          </w:rPr>
          <w:fldChar w:fldCharType="end"/>
        </w:r>
      </w:hyperlink>
    </w:p>
    <w:p w14:paraId="45B760FE" w14:textId="418246DB" w:rsidR="00C02D72" w:rsidRDefault="00C02D72">
      <w:pPr>
        <w:pStyle w:val="TOC1"/>
        <w:rPr>
          <w:rFonts w:asciiTheme="minorHAnsi" w:eastAsiaTheme="minorEastAsia" w:hAnsiTheme="minorHAnsi" w:cstheme="minorBidi"/>
          <w:b w:val="0"/>
          <w:kern w:val="2"/>
          <w:sz w:val="24"/>
          <w:szCs w:val="24"/>
          <w:lang w:eastAsia="en-GB" w:bidi="ar-SA"/>
          <w14:ligatures w14:val="standardContextual"/>
        </w:rPr>
      </w:pPr>
      <w:hyperlink w:anchor="_Toc216786446" w:history="1">
        <w:r w:rsidRPr="00E30F35">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Global Title Leasing Use Cases</w:t>
        </w:r>
        <w:r>
          <w:rPr>
            <w:webHidden/>
          </w:rPr>
          <w:tab/>
        </w:r>
        <w:r>
          <w:rPr>
            <w:webHidden/>
          </w:rPr>
          <w:fldChar w:fldCharType="begin"/>
        </w:r>
        <w:r>
          <w:rPr>
            <w:webHidden/>
          </w:rPr>
          <w:instrText xml:space="preserve"> PAGEREF _Toc216786446 \h </w:instrText>
        </w:r>
        <w:r>
          <w:rPr>
            <w:webHidden/>
          </w:rPr>
        </w:r>
        <w:r>
          <w:rPr>
            <w:webHidden/>
          </w:rPr>
          <w:fldChar w:fldCharType="separate"/>
        </w:r>
        <w:r w:rsidR="00C7693E">
          <w:rPr>
            <w:webHidden/>
          </w:rPr>
          <w:t>9</w:t>
        </w:r>
        <w:r>
          <w:rPr>
            <w:webHidden/>
          </w:rPr>
          <w:fldChar w:fldCharType="end"/>
        </w:r>
      </w:hyperlink>
    </w:p>
    <w:p w14:paraId="2710C3E5" w14:textId="52858479" w:rsidR="00C02D72" w:rsidRDefault="00C02D72">
      <w:pPr>
        <w:pStyle w:val="TOC1"/>
        <w:rPr>
          <w:rFonts w:asciiTheme="minorHAnsi" w:eastAsiaTheme="minorEastAsia" w:hAnsiTheme="minorHAnsi" w:cstheme="minorBidi"/>
          <w:b w:val="0"/>
          <w:kern w:val="2"/>
          <w:sz w:val="24"/>
          <w:szCs w:val="24"/>
          <w:lang w:eastAsia="en-GB" w:bidi="ar-SA"/>
          <w14:ligatures w14:val="standardContextual"/>
        </w:rPr>
      </w:pPr>
      <w:hyperlink w:anchor="_Toc216786447" w:history="1">
        <w:r w:rsidRPr="00E30F35">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GT Leasing Traffic Routing Options</w:t>
        </w:r>
        <w:r>
          <w:rPr>
            <w:webHidden/>
          </w:rPr>
          <w:tab/>
        </w:r>
        <w:r>
          <w:rPr>
            <w:webHidden/>
          </w:rPr>
          <w:fldChar w:fldCharType="begin"/>
        </w:r>
        <w:r>
          <w:rPr>
            <w:webHidden/>
          </w:rPr>
          <w:instrText xml:space="preserve"> PAGEREF _Toc216786447 \h </w:instrText>
        </w:r>
        <w:r>
          <w:rPr>
            <w:webHidden/>
          </w:rPr>
        </w:r>
        <w:r>
          <w:rPr>
            <w:webHidden/>
          </w:rPr>
          <w:fldChar w:fldCharType="separate"/>
        </w:r>
        <w:r w:rsidR="00C7693E">
          <w:rPr>
            <w:webHidden/>
          </w:rPr>
          <w:t>9</w:t>
        </w:r>
        <w:r>
          <w:rPr>
            <w:webHidden/>
          </w:rPr>
          <w:fldChar w:fldCharType="end"/>
        </w:r>
      </w:hyperlink>
    </w:p>
    <w:p w14:paraId="4937F6F1" w14:textId="0A0EBF3C" w:rsidR="00C02D72" w:rsidRDefault="00C02D72">
      <w:pPr>
        <w:pStyle w:val="TOC2"/>
        <w:rPr>
          <w:rFonts w:asciiTheme="minorHAnsi" w:eastAsiaTheme="minorEastAsia" w:hAnsiTheme="minorHAnsi" w:cstheme="minorBidi"/>
          <w:kern w:val="2"/>
          <w:sz w:val="24"/>
          <w:lang w:bidi="ar-SA"/>
          <w14:ligatures w14:val="standardContextual"/>
        </w:rPr>
      </w:pPr>
      <w:hyperlink w:anchor="_Toc216786448" w:history="1">
        <w:r w:rsidRPr="00E30F35">
          <w:rPr>
            <w:rStyle w:val="Hyperlink"/>
          </w:rPr>
          <w:t>4.1</w:t>
        </w:r>
        <w:r>
          <w:rPr>
            <w:rFonts w:asciiTheme="minorHAnsi" w:eastAsiaTheme="minorEastAsia" w:hAnsiTheme="minorHAnsi" w:cstheme="minorBidi"/>
            <w:kern w:val="2"/>
            <w:sz w:val="24"/>
            <w:lang w:bidi="ar-SA"/>
            <w14:ligatures w14:val="standardContextual"/>
          </w:rPr>
          <w:tab/>
        </w:r>
        <w:r w:rsidRPr="00E30F35">
          <w:rPr>
            <w:rStyle w:val="Hyperlink"/>
          </w:rPr>
          <w:t>Routing via Lessor</w:t>
        </w:r>
        <w:r>
          <w:rPr>
            <w:webHidden/>
          </w:rPr>
          <w:tab/>
        </w:r>
        <w:r>
          <w:rPr>
            <w:webHidden/>
          </w:rPr>
          <w:fldChar w:fldCharType="begin"/>
        </w:r>
        <w:r>
          <w:rPr>
            <w:webHidden/>
          </w:rPr>
          <w:instrText xml:space="preserve"> PAGEREF _Toc216786448 \h </w:instrText>
        </w:r>
        <w:r>
          <w:rPr>
            <w:webHidden/>
          </w:rPr>
        </w:r>
        <w:r>
          <w:rPr>
            <w:webHidden/>
          </w:rPr>
          <w:fldChar w:fldCharType="separate"/>
        </w:r>
        <w:r w:rsidR="00C7693E">
          <w:rPr>
            <w:webHidden/>
          </w:rPr>
          <w:t>10</w:t>
        </w:r>
        <w:r>
          <w:rPr>
            <w:webHidden/>
          </w:rPr>
          <w:fldChar w:fldCharType="end"/>
        </w:r>
      </w:hyperlink>
    </w:p>
    <w:p w14:paraId="030951B9" w14:textId="3B1EB943" w:rsidR="00C02D72" w:rsidRDefault="00C02D72">
      <w:pPr>
        <w:pStyle w:val="TOC2"/>
        <w:rPr>
          <w:rFonts w:asciiTheme="minorHAnsi" w:eastAsiaTheme="minorEastAsia" w:hAnsiTheme="minorHAnsi" w:cstheme="minorBidi"/>
          <w:kern w:val="2"/>
          <w:sz w:val="24"/>
          <w:lang w:bidi="ar-SA"/>
          <w14:ligatures w14:val="standardContextual"/>
        </w:rPr>
      </w:pPr>
      <w:hyperlink w:anchor="_Toc216786449" w:history="1">
        <w:r w:rsidRPr="00E30F35">
          <w:rPr>
            <w:rStyle w:val="Hyperlink"/>
          </w:rPr>
          <w:t>4.2</w:t>
        </w:r>
        <w:r>
          <w:rPr>
            <w:rFonts w:asciiTheme="minorHAnsi" w:eastAsiaTheme="minorEastAsia" w:hAnsiTheme="minorHAnsi" w:cstheme="minorBidi"/>
            <w:kern w:val="2"/>
            <w:sz w:val="24"/>
            <w:lang w:bidi="ar-SA"/>
            <w14:ligatures w14:val="standardContextual"/>
          </w:rPr>
          <w:tab/>
        </w:r>
        <w:r w:rsidRPr="00E30F35">
          <w:rPr>
            <w:rStyle w:val="Hyperlink"/>
          </w:rPr>
          <w:t>Routing via Lessee Only</w:t>
        </w:r>
        <w:r>
          <w:rPr>
            <w:webHidden/>
          </w:rPr>
          <w:tab/>
        </w:r>
        <w:r>
          <w:rPr>
            <w:webHidden/>
          </w:rPr>
          <w:fldChar w:fldCharType="begin"/>
        </w:r>
        <w:r>
          <w:rPr>
            <w:webHidden/>
          </w:rPr>
          <w:instrText xml:space="preserve"> PAGEREF _Toc216786449 \h </w:instrText>
        </w:r>
        <w:r>
          <w:rPr>
            <w:webHidden/>
          </w:rPr>
        </w:r>
        <w:r>
          <w:rPr>
            <w:webHidden/>
          </w:rPr>
          <w:fldChar w:fldCharType="separate"/>
        </w:r>
        <w:r w:rsidR="00C7693E">
          <w:rPr>
            <w:webHidden/>
          </w:rPr>
          <w:t>11</w:t>
        </w:r>
        <w:r>
          <w:rPr>
            <w:webHidden/>
          </w:rPr>
          <w:fldChar w:fldCharType="end"/>
        </w:r>
      </w:hyperlink>
    </w:p>
    <w:p w14:paraId="1790D557" w14:textId="6079C387" w:rsidR="00C02D72" w:rsidRDefault="00C02D72">
      <w:pPr>
        <w:pStyle w:val="TOC1"/>
        <w:rPr>
          <w:rFonts w:asciiTheme="minorHAnsi" w:eastAsiaTheme="minorEastAsia" w:hAnsiTheme="minorHAnsi" w:cstheme="minorBidi"/>
          <w:b w:val="0"/>
          <w:kern w:val="2"/>
          <w:sz w:val="24"/>
          <w:szCs w:val="24"/>
          <w:lang w:eastAsia="en-GB" w:bidi="ar-SA"/>
          <w14:ligatures w14:val="standardContextual"/>
        </w:rPr>
      </w:pPr>
      <w:hyperlink w:anchor="_Toc216786450" w:history="1">
        <w:r w:rsidRPr="00E30F35">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Diameter End Point Address Leasing</w:t>
        </w:r>
        <w:r>
          <w:rPr>
            <w:webHidden/>
          </w:rPr>
          <w:tab/>
        </w:r>
        <w:r>
          <w:rPr>
            <w:webHidden/>
          </w:rPr>
          <w:fldChar w:fldCharType="begin"/>
        </w:r>
        <w:r>
          <w:rPr>
            <w:webHidden/>
          </w:rPr>
          <w:instrText xml:space="preserve"> PAGEREF _Toc216786450 \h </w:instrText>
        </w:r>
        <w:r>
          <w:rPr>
            <w:webHidden/>
          </w:rPr>
        </w:r>
        <w:r>
          <w:rPr>
            <w:webHidden/>
          </w:rPr>
          <w:fldChar w:fldCharType="separate"/>
        </w:r>
        <w:r w:rsidR="00C7693E">
          <w:rPr>
            <w:webHidden/>
          </w:rPr>
          <w:t>12</w:t>
        </w:r>
        <w:r>
          <w:rPr>
            <w:webHidden/>
          </w:rPr>
          <w:fldChar w:fldCharType="end"/>
        </w:r>
      </w:hyperlink>
    </w:p>
    <w:p w14:paraId="2A5527C0" w14:textId="15690DEA" w:rsidR="00C02D72" w:rsidRDefault="00C02D72">
      <w:pPr>
        <w:pStyle w:val="TOC2"/>
        <w:rPr>
          <w:rFonts w:asciiTheme="minorHAnsi" w:eastAsiaTheme="minorEastAsia" w:hAnsiTheme="minorHAnsi" w:cstheme="minorBidi"/>
          <w:kern w:val="2"/>
          <w:sz w:val="24"/>
          <w:lang w:bidi="ar-SA"/>
          <w14:ligatures w14:val="standardContextual"/>
        </w:rPr>
      </w:pPr>
      <w:hyperlink w:anchor="_Toc216786451" w:history="1">
        <w:r w:rsidRPr="00E30F35">
          <w:rPr>
            <w:rStyle w:val="Hyperlink"/>
          </w:rPr>
          <w:t>5.1</w:t>
        </w:r>
        <w:r>
          <w:rPr>
            <w:rFonts w:asciiTheme="minorHAnsi" w:eastAsiaTheme="minorEastAsia" w:hAnsiTheme="minorHAnsi" w:cstheme="minorBidi"/>
            <w:kern w:val="2"/>
            <w:sz w:val="24"/>
            <w:lang w:bidi="ar-SA"/>
            <w14:ligatures w14:val="standardContextual"/>
          </w:rPr>
          <w:tab/>
        </w:r>
        <w:r w:rsidRPr="00E30F35">
          <w:rPr>
            <w:rStyle w:val="Hyperlink"/>
          </w:rPr>
          <w:t>Introduction to Diameter End Point Addresses</w:t>
        </w:r>
        <w:r>
          <w:rPr>
            <w:webHidden/>
          </w:rPr>
          <w:tab/>
        </w:r>
        <w:r>
          <w:rPr>
            <w:webHidden/>
          </w:rPr>
          <w:fldChar w:fldCharType="begin"/>
        </w:r>
        <w:r>
          <w:rPr>
            <w:webHidden/>
          </w:rPr>
          <w:instrText xml:space="preserve"> PAGEREF _Toc216786451 \h </w:instrText>
        </w:r>
        <w:r>
          <w:rPr>
            <w:webHidden/>
          </w:rPr>
        </w:r>
        <w:r>
          <w:rPr>
            <w:webHidden/>
          </w:rPr>
          <w:fldChar w:fldCharType="separate"/>
        </w:r>
        <w:r w:rsidR="00C7693E">
          <w:rPr>
            <w:webHidden/>
          </w:rPr>
          <w:t>12</w:t>
        </w:r>
        <w:r>
          <w:rPr>
            <w:webHidden/>
          </w:rPr>
          <w:fldChar w:fldCharType="end"/>
        </w:r>
      </w:hyperlink>
    </w:p>
    <w:p w14:paraId="1FE2C39F" w14:textId="14373B4D" w:rsidR="00C02D72" w:rsidRDefault="00C02D72">
      <w:pPr>
        <w:pStyle w:val="TOC2"/>
        <w:rPr>
          <w:rFonts w:asciiTheme="minorHAnsi" w:eastAsiaTheme="minorEastAsia" w:hAnsiTheme="minorHAnsi" w:cstheme="minorBidi"/>
          <w:kern w:val="2"/>
          <w:sz w:val="24"/>
          <w:lang w:bidi="ar-SA"/>
          <w14:ligatures w14:val="standardContextual"/>
        </w:rPr>
      </w:pPr>
      <w:hyperlink w:anchor="_Toc216786452" w:history="1">
        <w:r w:rsidRPr="00E30F35">
          <w:rPr>
            <w:rStyle w:val="Hyperlink"/>
          </w:rPr>
          <w:t>5.2</w:t>
        </w:r>
        <w:r>
          <w:rPr>
            <w:rFonts w:asciiTheme="minorHAnsi" w:eastAsiaTheme="minorEastAsia" w:hAnsiTheme="minorHAnsi" w:cstheme="minorBidi"/>
            <w:kern w:val="2"/>
            <w:sz w:val="24"/>
            <w:lang w:bidi="ar-SA"/>
            <w14:ligatures w14:val="standardContextual"/>
          </w:rPr>
          <w:tab/>
        </w:r>
        <w:r w:rsidRPr="00E30F35">
          <w:rPr>
            <w:rStyle w:val="Hyperlink"/>
          </w:rPr>
          <w:t>What is Diameter End Point Address Leasing?</w:t>
        </w:r>
        <w:r>
          <w:rPr>
            <w:webHidden/>
          </w:rPr>
          <w:tab/>
        </w:r>
        <w:r>
          <w:rPr>
            <w:webHidden/>
          </w:rPr>
          <w:fldChar w:fldCharType="begin"/>
        </w:r>
        <w:r>
          <w:rPr>
            <w:webHidden/>
          </w:rPr>
          <w:instrText xml:space="preserve"> PAGEREF _Toc216786452 \h </w:instrText>
        </w:r>
        <w:r>
          <w:rPr>
            <w:webHidden/>
          </w:rPr>
        </w:r>
        <w:r>
          <w:rPr>
            <w:webHidden/>
          </w:rPr>
          <w:fldChar w:fldCharType="separate"/>
        </w:r>
        <w:r w:rsidR="00C7693E">
          <w:rPr>
            <w:webHidden/>
          </w:rPr>
          <w:t>12</w:t>
        </w:r>
        <w:r>
          <w:rPr>
            <w:webHidden/>
          </w:rPr>
          <w:fldChar w:fldCharType="end"/>
        </w:r>
      </w:hyperlink>
    </w:p>
    <w:p w14:paraId="5977808E" w14:textId="767269C5" w:rsidR="00C02D72" w:rsidRDefault="00C02D72">
      <w:pPr>
        <w:pStyle w:val="TOC2"/>
        <w:rPr>
          <w:rFonts w:asciiTheme="minorHAnsi" w:eastAsiaTheme="minorEastAsia" w:hAnsiTheme="minorHAnsi" w:cstheme="minorBidi"/>
          <w:kern w:val="2"/>
          <w:sz w:val="24"/>
          <w:lang w:bidi="ar-SA"/>
          <w14:ligatures w14:val="standardContextual"/>
        </w:rPr>
      </w:pPr>
      <w:hyperlink w:anchor="_Toc216786453" w:history="1">
        <w:r w:rsidRPr="00E30F35">
          <w:rPr>
            <w:rStyle w:val="Hyperlink"/>
          </w:rPr>
          <w:t>5.3</w:t>
        </w:r>
        <w:r>
          <w:rPr>
            <w:rFonts w:asciiTheme="minorHAnsi" w:eastAsiaTheme="minorEastAsia" w:hAnsiTheme="minorHAnsi" w:cstheme="minorBidi"/>
            <w:kern w:val="2"/>
            <w:sz w:val="24"/>
            <w:lang w:bidi="ar-SA"/>
            <w14:ligatures w14:val="standardContextual"/>
          </w:rPr>
          <w:tab/>
        </w:r>
        <w:r w:rsidRPr="00E30F35">
          <w:rPr>
            <w:rStyle w:val="Hyperlink"/>
          </w:rPr>
          <w:t>Issues and Concerns with Diameter End Point Address Leasing</w:t>
        </w:r>
        <w:r>
          <w:rPr>
            <w:webHidden/>
          </w:rPr>
          <w:tab/>
        </w:r>
        <w:r>
          <w:rPr>
            <w:webHidden/>
          </w:rPr>
          <w:fldChar w:fldCharType="begin"/>
        </w:r>
        <w:r>
          <w:rPr>
            <w:webHidden/>
          </w:rPr>
          <w:instrText xml:space="preserve"> PAGEREF _Toc216786453 \h </w:instrText>
        </w:r>
        <w:r>
          <w:rPr>
            <w:webHidden/>
          </w:rPr>
        </w:r>
        <w:r>
          <w:rPr>
            <w:webHidden/>
          </w:rPr>
          <w:fldChar w:fldCharType="separate"/>
        </w:r>
        <w:r w:rsidR="00C7693E">
          <w:rPr>
            <w:webHidden/>
          </w:rPr>
          <w:t>12</w:t>
        </w:r>
        <w:r>
          <w:rPr>
            <w:webHidden/>
          </w:rPr>
          <w:fldChar w:fldCharType="end"/>
        </w:r>
      </w:hyperlink>
    </w:p>
    <w:p w14:paraId="588BA099" w14:textId="0D67EEA9" w:rsidR="00C02D72" w:rsidRDefault="00C02D72">
      <w:pPr>
        <w:pStyle w:val="TOC2"/>
        <w:rPr>
          <w:rFonts w:asciiTheme="minorHAnsi" w:eastAsiaTheme="minorEastAsia" w:hAnsiTheme="minorHAnsi" w:cstheme="minorBidi"/>
          <w:kern w:val="2"/>
          <w:sz w:val="24"/>
          <w:lang w:bidi="ar-SA"/>
          <w14:ligatures w14:val="standardContextual"/>
        </w:rPr>
      </w:pPr>
      <w:hyperlink w:anchor="_Toc216786454" w:history="1">
        <w:r w:rsidRPr="00E30F35">
          <w:rPr>
            <w:rStyle w:val="Hyperlink"/>
          </w:rPr>
          <w:t>5.4</w:t>
        </w:r>
        <w:r>
          <w:rPr>
            <w:rFonts w:asciiTheme="minorHAnsi" w:eastAsiaTheme="minorEastAsia" w:hAnsiTheme="minorHAnsi" w:cstheme="minorBidi"/>
            <w:kern w:val="2"/>
            <w:sz w:val="24"/>
            <w:lang w:bidi="ar-SA"/>
            <w14:ligatures w14:val="standardContextual"/>
          </w:rPr>
          <w:tab/>
        </w:r>
        <w:r w:rsidRPr="00E30F35">
          <w:rPr>
            <w:rStyle w:val="Hyperlink"/>
          </w:rPr>
          <w:t>Conclusion on Diameter End Point Address Leasing</w:t>
        </w:r>
        <w:r>
          <w:rPr>
            <w:webHidden/>
          </w:rPr>
          <w:tab/>
        </w:r>
        <w:r>
          <w:rPr>
            <w:webHidden/>
          </w:rPr>
          <w:fldChar w:fldCharType="begin"/>
        </w:r>
        <w:r>
          <w:rPr>
            <w:webHidden/>
          </w:rPr>
          <w:instrText xml:space="preserve"> PAGEREF _Toc216786454 \h </w:instrText>
        </w:r>
        <w:r>
          <w:rPr>
            <w:webHidden/>
          </w:rPr>
        </w:r>
        <w:r>
          <w:rPr>
            <w:webHidden/>
          </w:rPr>
          <w:fldChar w:fldCharType="separate"/>
        </w:r>
        <w:r w:rsidR="00C7693E">
          <w:rPr>
            <w:webHidden/>
          </w:rPr>
          <w:t>12</w:t>
        </w:r>
        <w:r>
          <w:rPr>
            <w:webHidden/>
          </w:rPr>
          <w:fldChar w:fldCharType="end"/>
        </w:r>
      </w:hyperlink>
    </w:p>
    <w:p w14:paraId="7F9D05B0" w14:textId="7C07D112" w:rsidR="00C02D72" w:rsidRDefault="00C02D72">
      <w:pPr>
        <w:pStyle w:val="TOC1"/>
        <w:rPr>
          <w:rFonts w:asciiTheme="minorHAnsi" w:eastAsiaTheme="minorEastAsia" w:hAnsiTheme="minorHAnsi" w:cstheme="minorBidi"/>
          <w:b w:val="0"/>
          <w:kern w:val="2"/>
          <w:sz w:val="24"/>
          <w:szCs w:val="24"/>
          <w:lang w:eastAsia="en-GB" w:bidi="ar-SA"/>
          <w14:ligatures w14:val="standardContextual"/>
        </w:rPr>
      </w:pPr>
      <w:hyperlink w:anchor="_Toc216786455" w:history="1">
        <w:r w:rsidRPr="00E30F35">
          <w:rPr>
            <w:rStyle w:val="Hyperlink"/>
          </w:rPr>
          <w:t>6</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Global Title and Diameter End Point Address Leasing Code of Conduct</w:t>
        </w:r>
        <w:r>
          <w:rPr>
            <w:webHidden/>
          </w:rPr>
          <w:tab/>
        </w:r>
        <w:r>
          <w:rPr>
            <w:webHidden/>
          </w:rPr>
          <w:fldChar w:fldCharType="begin"/>
        </w:r>
        <w:r>
          <w:rPr>
            <w:webHidden/>
          </w:rPr>
          <w:instrText xml:space="preserve"> PAGEREF _Toc216786455 \h </w:instrText>
        </w:r>
        <w:r>
          <w:rPr>
            <w:webHidden/>
          </w:rPr>
        </w:r>
        <w:r>
          <w:rPr>
            <w:webHidden/>
          </w:rPr>
          <w:fldChar w:fldCharType="separate"/>
        </w:r>
        <w:r w:rsidR="00C7693E">
          <w:rPr>
            <w:webHidden/>
          </w:rPr>
          <w:t>12</w:t>
        </w:r>
        <w:r>
          <w:rPr>
            <w:webHidden/>
          </w:rPr>
          <w:fldChar w:fldCharType="end"/>
        </w:r>
      </w:hyperlink>
    </w:p>
    <w:p w14:paraId="45F037A9" w14:textId="32195E0A" w:rsidR="00C02D72" w:rsidRDefault="00C02D72">
      <w:pPr>
        <w:pStyle w:val="TOC2"/>
        <w:rPr>
          <w:rFonts w:asciiTheme="minorHAnsi" w:eastAsiaTheme="minorEastAsia" w:hAnsiTheme="minorHAnsi" w:cstheme="minorBidi"/>
          <w:kern w:val="2"/>
          <w:sz w:val="24"/>
          <w:lang w:bidi="ar-SA"/>
          <w14:ligatures w14:val="standardContextual"/>
        </w:rPr>
      </w:pPr>
      <w:hyperlink w:anchor="_Toc216786456" w:history="1">
        <w:r w:rsidRPr="00E30F35">
          <w:rPr>
            <w:rStyle w:val="Hyperlink"/>
          </w:rPr>
          <w:t>6.1</w:t>
        </w:r>
        <w:r>
          <w:rPr>
            <w:rFonts w:asciiTheme="minorHAnsi" w:eastAsiaTheme="minorEastAsia" w:hAnsiTheme="minorHAnsi" w:cstheme="minorBidi"/>
            <w:kern w:val="2"/>
            <w:sz w:val="24"/>
            <w:lang w:bidi="ar-SA"/>
            <w14:ligatures w14:val="standardContextual"/>
          </w:rPr>
          <w:tab/>
        </w:r>
        <w:r w:rsidRPr="00E30F35">
          <w:rPr>
            <w:rStyle w:val="Hyperlink"/>
          </w:rPr>
          <w:t>GT Lessors</w:t>
        </w:r>
        <w:r>
          <w:rPr>
            <w:webHidden/>
          </w:rPr>
          <w:tab/>
        </w:r>
        <w:r>
          <w:rPr>
            <w:webHidden/>
          </w:rPr>
          <w:fldChar w:fldCharType="begin"/>
        </w:r>
        <w:r>
          <w:rPr>
            <w:webHidden/>
          </w:rPr>
          <w:instrText xml:space="preserve"> PAGEREF _Toc216786456 \h </w:instrText>
        </w:r>
        <w:r>
          <w:rPr>
            <w:webHidden/>
          </w:rPr>
        </w:r>
        <w:r>
          <w:rPr>
            <w:webHidden/>
          </w:rPr>
          <w:fldChar w:fldCharType="separate"/>
        </w:r>
        <w:r w:rsidR="00C7693E">
          <w:rPr>
            <w:webHidden/>
          </w:rPr>
          <w:t>13</w:t>
        </w:r>
        <w:r>
          <w:rPr>
            <w:webHidden/>
          </w:rPr>
          <w:fldChar w:fldCharType="end"/>
        </w:r>
      </w:hyperlink>
    </w:p>
    <w:p w14:paraId="2B9418A6" w14:textId="7597A3BA" w:rsidR="00C02D72" w:rsidRDefault="00C02D72">
      <w:pPr>
        <w:pStyle w:val="TOC2"/>
        <w:rPr>
          <w:rFonts w:asciiTheme="minorHAnsi" w:eastAsiaTheme="minorEastAsia" w:hAnsiTheme="minorHAnsi" w:cstheme="minorBidi"/>
          <w:kern w:val="2"/>
          <w:sz w:val="24"/>
          <w:lang w:bidi="ar-SA"/>
          <w14:ligatures w14:val="standardContextual"/>
        </w:rPr>
      </w:pPr>
      <w:hyperlink w:anchor="_Toc216786457" w:history="1">
        <w:r w:rsidRPr="00E30F35">
          <w:rPr>
            <w:rStyle w:val="Hyperlink"/>
          </w:rPr>
          <w:t>6.2</w:t>
        </w:r>
        <w:r>
          <w:rPr>
            <w:rFonts w:asciiTheme="minorHAnsi" w:eastAsiaTheme="minorEastAsia" w:hAnsiTheme="minorHAnsi" w:cstheme="minorBidi"/>
            <w:kern w:val="2"/>
            <w:sz w:val="24"/>
            <w:lang w:bidi="ar-SA"/>
            <w14:ligatures w14:val="standardContextual"/>
          </w:rPr>
          <w:tab/>
        </w:r>
        <w:r w:rsidRPr="00E30F35">
          <w:rPr>
            <w:rStyle w:val="Hyperlink"/>
          </w:rPr>
          <w:t>Transit Carriers</w:t>
        </w:r>
        <w:r>
          <w:rPr>
            <w:webHidden/>
          </w:rPr>
          <w:tab/>
        </w:r>
        <w:r>
          <w:rPr>
            <w:webHidden/>
          </w:rPr>
          <w:fldChar w:fldCharType="begin"/>
        </w:r>
        <w:r>
          <w:rPr>
            <w:webHidden/>
          </w:rPr>
          <w:instrText xml:space="preserve"> PAGEREF _Toc216786457 \h </w:instrText>
        </w:r>
        <w:r>
          <w:rPr>
            <w:webHidden/>
          </w:rPr>
        </w:r>
        <w:r>
          <w:rPr>
            <w:webHidden/>
          </w:rPr>
          <w:fldChar w:fldCharType="separate"/>
        </w:r>
        <w:r w:rsidR="00C7693E">
          <w:rPr>
            <w:webHidden/>
          </w:rPr>
          <w:t>15</w:t>
        </w:r>
        <w:r>
          <w:rPr>
            <w:webHidden/>
          </w:rPr>
          <w:fldChar w:fldCharType="end"/>
        </w:r>
      </w:hyperlink>
    </w:p>
    <w:p w14:paraId="6B82725E" w14:textId="1CDF0501" w:rsidR="00C02D72" w:rsidRDefault="00C02D72">
      <w:pPr>
        <w:pStyle w:val="TOC2"/>
        <w:rPr>
          <w:rFonts w:asciiTheme="minorHAnsi" w:eastAsiaTheme="minorEastAsia" w:hAnsiTheme="minorHAnsi" w:cstheme="minorBidi"/>
          <w:kern w:val="2"/>
          <w:sz w:val="24"/>
          <w:lang w:bidi="ar-SA"/>
          <w14:ligatures w14:val="standardContextual"/>
        </w:rPr>
      </w:pPr>
      <w:hyperlink w:anchor="_Toc216786458" w:history="1">
        <w:r w:rsidRPr="00E30F35">
          <w:rPr>
            <w:rStyle w:val="Hyperlink"/>
          </w:rPr>
          <w:t>6.3</w:t>
        </w:r>
        <w:r>
          <w:rPr>
            <w:rFonts w:asciiTheme="minorHAnsi" w:eastAsiaTheme="minorEastAsia" w:hAnsiTheme="minorHAnsi" w:cstheme="minorBidi"/>
            <w:kern w:val="2"/>
            <w:sz w:val="24"/>
            <w:lang w:bidi="ar-SA"/>
            <w14:ligatures w14:val="standardContextual"/>
          </w:rPr>
          <w:tab/>
        </w:r>
        <w:r w:rsidRPr="00E30F35">
          <w:rPr>
            <w:rStyle w:val="Hyperlink"/>
          </w:rPr>
          <w:t>DEPA Leasing</w:t>
        </w:r>
        <w:r>
          <w:rPr>
            <w:webHidden/>
          </w:rPr>
          <w:tab/>
        </w:r>
        <w:r>
          <w:rPr>
            <w:webHidden/>
          </w:rPr>
          <w:fldChar w:fldCharType="begin"/>
        </w:r>
        <w:r>
          <w:rPr>
            <w:webHidden/>
          </w:rPr>
          <w:instrText xml:space="preserve"> PAGEREF _Toc216786458 \h </w:instrText>
        </w:r>
        <w:r>
          <w:rPr>
            <w:webHidden/>
          </w:rPr>
        </w:r>
        <w:r>
          <w:rPr>
            <w:webHidden/>
          </w:rPr>
          <w:fldChar w:fldCharType="separate"/>
        </w:r>
        <w:r w:rsidR="00C7693E">
          <w:rPr>
            <w:webHidden/>
          </w:rPr>
          <w:t>16</w:t>
        </w:r>
        <w:r>
          <w:rPr>
            <w:webHidden/>
          </w:rPr>
          <w:fldChar w:fldCharType="end"/>
        </w:r>
      </w:hyperlink>
    </w:p>
    <w:p w14:paraId="066A66BB" w14:textId="3ACB55F7" w:rsidR="00C02D72" w:rsidRDefault="00C02D72">
      <w:pPr>
        <w:pStyle w:val="TOC1"/>
        <w:rPr>
          <w:rFonts w:asciiTheme="minorHAnsi" w:eastAsiaTheme="minorEastAsia" w:hAnsiTheme="minorHAnsi" w:cstheme="minorBidi"/>
          <w:b w:val="0"/>
          <w:kern w:val="2"/>
          <w:sz w:val="24"/>
          <w:szCs w:val="24"/>
          <w:lang w:eastAsia="en-GB" w:bidi="ar-SA"/>
          <w14:ligatures w14:val="standardContextual"/>
        </w:rPr>
      </w:pPr>
      <w:hyperlink w:anchor="_Toc216786459" w:history="1">
        <w:r w:rsidRPr="00E30F35">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Global Title Best Practice Recommendations</w:t>
        </w:r>
        <w:r>
          <w:rPr>
            <w:webHidden/>
          </w:rPr>
          <w:tab/>
        </w:r>
        <w:r>
          <w:rPr>
            <w:webHidden/>
          </w:rPr>
          <w:fldChar w:fldCharType="begin"/>
        </w:r>
        <w:r>
          <w:rPr>
            <w:webHidden/>
          </w:rPr>
          <w:instrText xml:space="preserve"> PAGEREF _Toc216786459 \h </w:instrText>
        </w:r>
        <w:r>
          <w:rPr>
            <w:webHidden/>
          </w:rPr>
        </w:r>
        <w:r>
          <w:rPr>
            <w:webHidden/>
          </w:rPr>
          <w:fldChar w:fldCharType="separate"/>
        </w:r>
        <w:r w:rsidR="00C7693E">
          <w:rPr>
            <w:webHidden/>
          </w:rPr>
          <w:t>16</w:t>
        </w:r>
        <w:r>
          <w:rPr>
            <w:webHidden/>
          </w:rPr>
          <w:fldChar w:fldCharType="end"/>
        </w:r>
      </w:hyperlink>
    </w:p>
    <w:p w14:paraId="3AF3BAAC" w14:textId="0CDE116F" w:rsidR="00C02D72" w:rsidRDefault="00C02D72">
      <w:pPr>
        <w:pStyle w:val="TOC2"/>
        <w:rPr>
          <w:rFonts w:asciiTheme="minorHAnsi" w:eastAsiaTheme="minorEastAsia" w:hAnsiTheme="minorHAnsi" w:cstheme="minorBidi"/>
          <w:kern w:val="2"/>
          <w:sz w:val="24"/>
          <w:lang w:bidi="ar-SA"/>
          <w14:ligatures w14:val="standardContextual"/>
        </w:rPr>
      </w:pPr>
      <w:hyperlink w:anchor="_Toc216786460" w:history="1">
        <w:r w:rsidRPr="00E30F35">
          <w:rPr>
            <w:rStyle w:val="Hyperlink"/>
          </w:rPr>
          <w:t>7.1</w:t>
        </w:r>
        <w:r>
          <w:rPr>
            <w:rFonts w:asciiTheme="minorHAnsi" w:eastAsiaTheme="minorEastAsia" w:hAnsiTheme="minorHAnsi" w:cstheme="minorBidi"/>
            <w:kern w:val="2"/>
            <w:sz w:val="24"/>
            <w:lang w:bidi="ar-SA"/>
            <w14:ligatures w14:val="standardContextual"/>
          </w:rPr>
          <w:tab/>
        </w:r>
        <w:r w:rsidRPr="00E30F35">
          <w:rPr>
            <w:rStyle w:val="Hyperlink"/>
          </w:rPr>
          <w:t>GT Assignees</w:t>
        </w:r>
        <w:r>
          <w:rPr>
            <w:webHidden/>
          </w:rPr>
          <w:tab/>
        </w:r>
        <w:r>
          <w:rPr>
            <w:webHidden/>
          </w:rPr>
          <w:fldChar w:fldCharType="begin"/>
        </w:r>
        <w:r>
          <w:rPr>
            <w:webHidden/>
          </w:rPr>
          <w:instrText xml:space="preserve"> PAGEREF _Toc216786460 \h </w:instrText>
        </w:r>
        <w:r>
          <w:rPr>
            <w:webHidden/>
          </w:rPr>
        </w:r>
        <w:r>
          <w:rPr>
            <w:webHidden/>
          </w:rPr>
          <w:fldChar w:fldCharType="separate"/>
        </w:r>
        <w:r w:rsidR="00C7693E">
          <w:rPr>
            <w:webHidden/>
          </w:rPr>
          <w:t>16</w:t>
        </w:r>
        <w:r>
          <w:rPr>
            <w:webHidden/>
          </w:rPr>
          <w:fldChar w:fldCharType="end"/>
        </w:r>
      </w:hyperlink>
    </w:p>
    <w:p w14:paraId="334D2ECE" w14:textId="7DEB1875" w:rsidR="00C02D72" w:rsidRDefault="00C02D72">
      <w:pPr>
        <w:pStyle w:val="TOC2"/>
        <w:rPr>
          <w:rFonts w:asciiTheme="minorHAnsi" w:eastAsiaTheme="minorEastAsia" w:hAnsiTheme="minorHAnsi" w:cstheme="minorBidi"/>
          <w:kern w:val="2"/>
          <w:sz w:val="24"/>
          <w:lang w:bidi="ar-SA"/>
          <w14:ligatures w14:val="standardContextual"/>
        </w:rPr>
      </w:pPr>
      <w:hyperlink w:anchor="_Toc216786461" w:history="1">
        <w:r w:rsidRPr="00E30F35">
          <w:rPr>
            <w:rStyle w:val="Hyperlink"/>
          </w:rPr>
          <w:t>7.2</w:t>
        </w:r>
        <w:r>
          <w:rPr>
            <w:rFonts w:asciiTheme="minorHAnsi" w:eastAsiaTheme="minorEastAsia" w:hAnsiTheme="minorHAnsi" w:cstheme="minorBidi"/>
            <w:kern w:val="2"/>
            <w:sz w:val="24"/>
            <w:lang w:bidi="ar-SA"/>
            <w14:ligatures w14:val="standardContextual"/>
          </w:rPr>
          <w:tab/>
        </w:r>
        <w:r w:rsidRPr="00E30F35">
          <w:rPr>
            <w:rStyle w:val="Hyperlink"/>
          </w:rPr>
          <w:t>Target Operators</w:t>
        </w:r>
        <w:r>
          <w:rPr>
            <w:webHidden/>
          </w:rPr>
          <w:tab/>
        </w:r>
        <w:r>
          <w:rPr>
            <w:webHidden/>
          </w:rPr>
          <w:fldChar w:fldCharType="begin"/>
        </w:r>
        <w:r>
          <w:rPr>
            <w:webHidden/>
          </w:rPr>
          <w:instrText xml:space="preserve"> PAGEREF _Toc216786461 \h </w:instrText>
        </w:r>
        <w:r>
          <w:rPr>
            <w:webHidden/>
          </w:rPr>
        </w:r>
        <w:r>
          <w:rPr>
            <w:webHidden/>
          </w:rPr>
          <w:fldChar w:fldCharType="separate"/>
        </w:r>
        <w:r w:rsidR="00C7693E">
          <w:rPr>
            <w:webHidden/>
          </w:rPr>
          <w:t>16</w:t>
        </w:r>
        <w:r>
          <w:rPr>
            <w:webHidden/>
          </w:rPr>
          <w:fldChar w:fldCharType="end"/>
        </w:r>
      </w:hyperlink>
    </w:p>
    <w:p w14:paraId="330951E7" w14:textId="4E01D2A6" w:rsidR="00C02D72" w:rsidRDefault="00C02D72">
      <w:pPr>
        <w:pStyle w:val="TOC1"/>
        <w:rPr>
          <w:rFonts w:asciiTheme="minorHAnsi" w:eastAsiaTheme="minorEastAsia" w:hAnsiTheme="minorHAnsi" w:cstheme="minorBidi"/>
          <w:b w:val="0"/>
          <w:kern w:val="2"/>
          <w:sz w:val="24"/>
          <w:szCs w:val="24"/>
          <w:lang w:eastAsia="en-GB" w:bidi="ar-SA"/>
          <w14:ligatures w14:val="standardContextual"/>
        </w:rPr>
      </w:pPr>
      <w:hyperlink w:anchor="_Toc216786462" w:history="1">
        <w:r w:rsidRPr="00E30F35">
          <w:rPr>
            <w:rStyle w:val="Hyperlink"/>
          </w:rPr>
          <w:t>8</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Threat Intelligence sharing</w:t>
        </w:r>
        <w:r>
          <w:rPr>
            <w:webHidden/>
          </w:rPr>
          <w:tab/>
        </w:r>
        <w:r>
          <w:rPr>
            <w:webHidden/>
          </w:rPr>
          <w:fldChar w:fldCharType="begin"/>
        </w:r>
        <w:r>
          <w:rPr>
            <w:webHidden/>
          </w:rPr>
          <w:instrText xml:space="preserve"> PAGEREF _Toc216786462 \h </w:instrText>
        </w:r>
        <w:r>
          <w:rPr>
            <w:webHidden/>
          </w:rPr>
        </w:r>
        <w:r>
          <w:rPr>
            <w:webHidden/>
          </w:rPr>
          <w:fldChar w:fldCharType="separate"/>
        </w:r>
        <w:r w:rsidR="00C7693E">
          <w:rPr>
            <w:webHidden/>
          </w:rPr>
          <w:t>17</w:t>
        </w:r>
        <w:r>
          <w:rPr>
            <w:webHidden/>
          </w:rPr>
          <w:fldChar w:fldCharType="end"/>
        </w:r>
      </w:hyperlink>
    </w:p>
    <w:p w14:paraId="0797E62F" w14:textId="0FCD7ECC" w:rsidR="00C02D72" w:rsidRDefault="00C02D72">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16786463" w:history="1">
        <w:r w:rsidRPr="00E30F35">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Detailed Signalling Flow Diagrams</w:t>
        </w:r>
        <w:r>
          <w:rPr>
            <w:webHidden/>
          </w:rPr>
          <w:tab/>
        </w:r>
        <w:r>
          <w:rPr>
            <w:webHidden/>
          </w:rPr>
          <w:fldChar w:fldCharType="begin"/>
        </w:r>
        <w:r>
          <w:rPr>
            <w:webHidden/>
          </w:rPr>
          <w:instrText xml:space="preserve"> PAGEREF _Toc216786463 \h </w:instrText>
        </w:r>
        <w:r>
          <w:rPr>
            <w:webHidden/>
          </w:rPr>
        </w:r>
        <w:r>
          <w:rPr>
            <w:webHidden/>
          </w:rPr>
          <w:fldChar w:fldCharType="separate"/>
        </w:r>
        <w:r w:rsidR="00C7693E">
          <w:rPr>
            <w:webHidden/>
          </w:rPr>
          <w:t>18</w:t>
        </w:r>
        <w:r>
          <w:rPr>
            <w:webHidden/>
          </w:rPr>
          <w:fldChar w:fldCharType="end"/>
        </w:r>
      </w:hyperlink>
    </w:p>
    <w:p w14:paraId="696655B0" w14:textId="0A6E300F" w:rsidR="00C02D72" w:rsidRDefault="00C02D72">
      <w:pPr>
        <w:pStyle w:val="TOC2"/>
        <w:rPr>
          <w:rFonts w:asciiTheme="minorHAnsi" w:eastAsiaTheme="minorEastAsia" w:hAnsiTheme="minorHAnsi" w:cstheme="minorBidi"/>
          <w:kern w:val="2"/>
          <w:sz w:val="24"/>
          <w:lang w:bidi="ar-SA"/>
          <w14:ligatures w14:val="standardContextual"/>
        </w:rPr>
      </w:pPr>
      <w:hyperlink w:anchor="_Toc216786464" w:history="1">
        <w:r w:rsidRPr="00E30F35">
          <w:rPr>
            <w:rStyle w:val="Hyperlink"/>
          </w:rPr>
          <w:t>A.1</w:t>
        </w:r>
        <w:r>
          <w:rPr>
            <w:rFonts w:asciiTheme="minorHAnsi" w:eastAsiaTheme="minorEastAsia" w:hAnsiTheme="minorHAnsi" w:cstheme="minorBidi"/>
            <w:kern w:val="2"/>
            <w:sz w:val="24"/>
            <w:lang w:bidi="ar-SA"/>
            <w14:ligatures w14:val="standardContextual"/>
          </w:rPr>
          <w:tab/>
        </w:r>
        <w:r w:rsidRPr="00E30F35">
          <w:rPr>
            <w:rStyle w:val="Hyperlink"/>
          </w:rPr>
          <w:t>Routing via Lessor</w:t>
        </w:r>
        <w:r>
          <w:rPr>
            <w:webHidden/>
          </w:rPr>
          <w:tab/>
        </w:r>
        <w:r>
          <w:rPr>
            <w:webHidden/>
          </w:rPr>
          <w:fldChar w:fldCharType="begin"/>
        </w:r>
        <w:r>
          <w:rPr>
            <w:webHidden/>
          </w:rPr>
          <w:instrText xml:space="preserve"> PAGEREF _Toc216786464 \h </w:instrText>
        </w:r>
        <w:r>
          <w:rPr>
            <w:webHidden/>
          </w:rPr>
        </w:r>
        <w:r>
          <w:rPr>
            <w:webHidden/>
          </w:rPr>
          <w:fldChar w:fldCharType="separate"/>
        </w:r>
        <w:r w:rsidR="00C7693E">
          <w:rPr>
            <w:webHidden/>
          </w:rPr>
          <w:t>18</w:t>
        </w:r>
        <w:r>
          <w:rPr>
            <w:webHidden/>
          </w:rPr>
          <w:fldChar w:fldCharType="end"/>
        </w:r>
      </w:hyperlink>
    </w:p>
    <w:p w14:paraId="15F23F1F" w14:textId="75DB2DC9" w:rsidR="00C02D72" w:rsidRDefault="00C02D72">
      <w:pPr>
        <w:pStyle w:val="TOC2"/>
        <w:rPr>
          <w:rFonts w:asciiTheme="minorHAnsi" w:eastAsiaTheme="minorEastAsia" w:hAnsiTheme="minorHAnsi" w:cstheme="minorBidi"/>
          <w:kern w:val="2"/>
          <w:sz w:val="24"/>
          <w:lang w:bidi="ar-SA"/>
          <w14:ligatures w14:val="standardContextual"/>
        </w:rPr>
      </w:pPr>
      <w:hyperlink w:anchor="_Toc216786465" w:history="1">
        <w:r w:rsidRPr="00E30F35">
          <w:rPr>
            <w:rStyle w:val="Hyperlink"/>
          </w:rPr>
          <w:t>A.2</w:t>
        </w:r>
        <w:r>
          <w:rPr>
            <w:rFonts w:asciiTheme="minorHAnsi" w:eastAsiaTheme="minorEastAsia" w:hAnsiTheme="minorHAnsi" w:cstheme="minorBidi"/>
            <w:kern w:val="2"/>
            <w:sz w:val="24"/>
            <w:lang w:bidi="ar-SA"/>
            <w14:ligatures w14:val="standardContextual"/>
          </w:rPr>
          <w:tab/>
        </w:r>
        <w:r w:rsidRPr="00E30F35">
          <w:rPr>
            <w:rStyle w:val="Hyperlink"/>
          </w:rPr>
          <w:t>Routing to Lessee Only</w:t>
        </w:r>
        <w:r>
          <w:rPr>
            <w:webHidden/>
          </w:rPr>
          <w:tab/>
        </w:r>
        <w:r>
          <w:rPr>
            <w:webHidden/>
          </w:rPr>
          <w:fldChar w:fldCharType="begin"/>
        </w:r>
        <w:r>
          <w:rPr>
            <w:webHidden/>
          </w:rPr>
          <w:instrText xml:space="preserve"> PAGEREF _Toc216786465 \h </w:instrText>
        </w:r>
        <w:r>
          <w:rPr>
            <w:webHidden/>
          </w:rPr>
        </w:r>
        <w:r>
          <w:rPr>
            <w:webHidden/>
          </w:rPr>
          <w:fldChar w:fldCharType="separate"/>
        </w:r>
        <w:r w:rsidR="00C7693E">
          <w:rPr>
            <w:webHidden/>
          </w:rPr>
          <w:t>18</w:t>
        </w:r>
        <w:r>
          <w:rPr>
            <w:webHidden/>
          </w:rPr>
          <w:fldChar w:fldCharType="end"/>
        </w:r>
      </w:hyperlink>
    </w:p>
    <w:p w14:paraId="096C373F" w14:textId="6BB86679" w:rsidR="00C02D72" w:rsidRDefault="00C02D72">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16786466" w:history="1">
        <w:r w:rsidRPr="00E30F35">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Appropriate IR.21 Management</w:t>
        </w:r>
        <w:r>
          <w:rPr>
            <w:webHidden/>
          </w:rPr>
          <w:tab/>
        </w:r>
        <w:r>
          <w:rPr>
            <w:webHidden/>
          </w:rPr>
          <w:fldChar w:fldCharType="begin"/>
        </w:r>
        <w:r>
          <w:rPr>
            <w:webHidden/>
          </w:rPr>
          <w:instrText xml:space="preserve"> PAGEREF _Toc216786466 \h </w:instrText>
        </w:r>
        <w:r>
          <w:rPr>
            <w:webHidden/>
          </w:rPr>
        </w:r>
        <w:r>
          <w:rPr>
            <w:webHidden/>
          </w:rPr>
          <w:fldChar w:fldCharType="separate"/>
        </w:r>
        <w:r w:rsidR="00C7693E">
          <w:rPr>
            <w:webHidden/>
          </w:rPr>
          <w:t>20</w:t>
        </w:r>
        <w:r>
          <w:rPr>
            <w:webHidden/>
          </w:rPr>
          <w:fldChar w:fldCharType="end"/>
        </w:r>
      </w:hyperlink>
    </w:p>
    <w:p w14:paraId="17901B18" w14:textId="042D0E0A" w:rsidR="00C02D72" w:rsidRDefault="00C02D72">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16786467" w:history="1">
        <w:r w:rsidRPr="00E30F35">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E30F35">
          <w:rPr>
            <w:rStyle w:val="Hyperlink"/>
          </w:rPr>
          <w:t>Document Management</w:t>
        </w:r>
        <w:r>
          <w:rPr>
            <w:webHidden/>
          </w:rPr>
          <w:tab/>
        </w:r>
        <w:r>
          <w:rPr>
            <w:webHidden/>
          </w:rPr>
          <w:fldChar w:fldCharType="begin"/>
        </w:r>
        <w:r>
          <w:rPr>
            <w:webHidden/>
          </w:rPr>
          <w:instrText xml:space="preserve"> PAGEREF _Toc216786467 \h </w:instrText>
        </w:r>
        <w:r>
          <w:rPr>
            <w:webHidden/>
          </w:rPr>
        </w:r>
        <w:r>
          <w:rPr>
            <w:webHidden/>
          </w:rPr>
          <w:fldChar w:fldCharType="separate"/>
        </w:r>
        <w:r w:rsidR="00C7693E">
          <w:rPr>
            <w:webHidden/>
          </w:rPr>
          <w:t>21</w:t>
        </w:r>
        <w:r>
          <w:rPr>
            <w:webHidden/>
          </w:rPr>
          <w:fldChar w:fldCharType="end"/>
        </w:r>
      </w:hyperlink>
    </w:p>
    <w:p w14:paraId="0E6C2BD5" w14:textId="5212C439" w:rsidR="00C02D72" w:rsidRDefault="00C02D72">
      <w:pPr>
        <w:pStyle w:val="TOC2"/>
        <w:rPr>
          <w:rFonts w:asciiTheme="minorHAnsi" w:eastAsiaTheme="minorEastAsia" w:hAnsiTheme="minorHAnsi" w:cstheme="minorBidi"/>
          <w:kern w:val="2"/>
          <w:sz w:val="24"/>
          <w:lang w:bidi="ar-SA"/>
          <w14:ligatures w14:val="standardContextual"/>
        </w:rPr>
      </w:pPr>
      <w:hyperlink w:anchor="_Toc216786468" w:history="1">
        <w:r w:rsidRPr="00E30F35">
          <w:rPr>
            <w:rStyle w:val="Hyperlink"/>
          </w:rPr>
          <w:t>C.1</w:t>
        </w:r>
        <w:r>
          <w:rPr>
            <w:rFonts w:asciiTheme="minorHAnsi" w:eastAsiaTheme="minorEastAsia" w:hAnsiTheme="minorHAnsi" w:cstheme="minorBidi"/>
            <w:kern w:val="2"/>
            <w:sz w:val="24"/>
            <w:lang w:bidi="ar-SA"/>
            <w14:ligatures w14:val="standardContextual"/>
          </w:rPr>
          <w:tab/>
        </w:r>
        <w:r w:rsidRPr="00E30F35">
          <w:rPr>
            <w:rStyle w:val="Hyperlink"/>
          </w:rPr>
          <w:t>Document History</w:t>
        </w:r>
        <w:r>
          <w:rPr>
            <w:webHidden/>
          </w:rPr>
          <w:tab/>
        </w:r>
        <w:r>
          <w:rPr>
            <w:webHidden/>
          </w:rPr>
          <w:fldChar w:fldCharType="begin"/>
        </w:r>
        <w:r>
          <w:rPr>
            <w:webHidden/>
          </w:rPr>
          <w:instrText xml:space="preserve"> PAGEREF _Toc216786468 \h </w:instrText>
        </w:r>
        <w:r>
          <w:rPr>
            <w:webHidden/>
          </w:rPr>
        </w:r>
        <w:r>
          <w:rPr>
            <w:webHidden/>
          </w:rPr>
          <w:fldChar w:fldCharType="separate"/>
        </w:r>
        <w:r w:rsidR="00C7693E">
          <w:rPr>
            <w:webHidden/>
          </w:rPr>
          <w:t>21</w:t>
        </w:r>
        <w:r>
          <w:rPr>
            <w:webHidden/>
          </w:rPr>
          <w:fldChar w:fldCharType="end"/>
        </w:r>
      </w:hyperlink>
    </w:p>
    <w:p w14:paraId="66DA4220" w14:textId="790A83C5" w:rsidR="00C02D72" w:rsidRDefault="00C02D72">
      <w:pPr>
        <w:pStyle w:val="TOC2"/>
        <w:rPr>
          <w:rFonts w:asciiTheme="minorHAnsi" w:eastAsiaTheme="minorEastAsia" w:hAnsiTheme="minorHAnsi" w:cstheme="minorBidi"/>
          <w:kern w:val="2"/>
          <w:sz w:val="24"/>
          <w:lang w:bidi="ar-SA"/>
          <w14:ligatures w14:val="standardContextual"/>
        </w:rPr>
      </w:pPr>
      <w:hyperlink w:anchor="_Toc216786469" w:history="1">
        <w:r w:rsidRPr="00E30F35">
          <w:rPr>
            <w:rStyle w:val="Hyperlink"/>
          </w:rPr>
          <w:t>C.2</w:t>
        </w:r>
        <w:r>
          <w:rPr>
            <w:rFonts w:asciiTheme="minorHAnsi" w:eastAsiaTheme="minorEastAsia" w:hAnsiTheme="minorHAnsi" w:cstheme="minorBidi"/>
            <w:kern w:val="2"/>
            <w:sz w:val="24"/>
            <w:lang w:bidi="ar-SA"/>
            <w14:ligatures w14:val="standardContextual"/>
          </w:rPr>
          <w:tab/>
        </w:r>
        <w:r w:rsidRPr="00E30F35">
          <w:rPr>
            <w:rStyle w:val="Hyperlink"/>
          </w:rPr>
          <w:t>Other Information</w:t>
        </w:r>
        <w:r>
          <w:rPr>
            <w:webHidden/>
          </w:rPr>
          <w:tab/>
        </w:r>
        <w:r>
          <w:rPr>
            <w:webHidden/>
          </w:rPr>
          <w:fldChar w:fldCharType="begin"/>
        </w:r>
        <w:r>
          <w:rPr>
            <w:webHidden/>
          </w:rPr>
          <w:instrText xml:space="preserve"> PAGEREF _Toc216786469 \h </w:instrText>
        </w:r>
        <w:r>
          <w:rPr>
            <w:webHidden/>
          </w:rPr>
        </w:r>
        <w:r>
          <w:rPr>
            <w:webHidden/>
          </w:rPr>
          <w:fldChar w:fldCharType="separate"/>
        </w:r>
        <w:r w:rsidR="00C7693E">
          <w:rPr>
            <w:webHidden/>
          </w:rPr>
          <w:t>21</w:t>
        </w:r>
        <w:r>
          <w:rPr>
            <w:webHidden/>
          </w:rPr>
          <w:fldChar w:fldCharType="end"/>
        </w:r>
      </w:hyperlink>
    </w:p>
    <w:p w14:paraId="3BB92B5B" w14:textId="5E27A4DB" w:rsidR="005841D0" w:rsidRDefault="005841D0" w:rsidP="00BC2E54">
      <w:pPr>
        <w:pStyle w:val="NormalParagraph"/>
      </w:pPr>
      <w:r>
        <w:rPr>
          <w:noProof/>
          <w:lang w:eastAsia="zh-CN" w:bidi="bn-BD"/>
        </w:rPr>
        <w:fldChar w:fldCharType="end"/>
      </w:r>
    </w:p>
    <w:p w14:paraId="49C11FCB" w14:textId="77777777" w:rsidR="005841D0" w:rsidRDefault="005841D0" w:rsidP="00BC2E54">
      <w:pPr>
        <w:pStyle w:val="Heading1"/>
      </w:pPr>
      <w:bookmarkStart w:id="0" w:name="_Toc86821889"/>
      <w:bookmarkStart w:id="1" w:name="_Toc101946531"/>
      <w:bookmarkEnd w:id="0"/>
      <w:r>
        <w:br w:type="page"/>
      </w:r>
      <w:bookmarkStart w:id="2" w:name="_Toc85405215"/>
      <w:bookmarkStart w:id="3" w:name="_Toc216786433"/>
      <w:bookmarkStart w:id="4" w:name="_Toc327547998"/>
      <w:bookmarkStart w:id="5" w:name="_Toc327548198"/>
      <w:bookmarkStart w:id="6" w:name="_Hlk109567776"/>
      <w:r>
        <w:lastRenderedPageBreak/>
        <w:t>Introduction</w:t>
      </w:r>
      <w:bookmarkEnd w:id="2"/>
      <w:bookmarkEnd w:id="3"/>
    </w:p>
    <w:p w14:paraId="10ED9181" w14:textId="77777777" w:rsidR="005841D0" w:rsidRDefault="005841D0" w:rsidP="00BC2E54">
      <w:pPr>
        <w:pStyle w:val="Heading2"/>
      </w:pPr>
      <w:bookmarkStart w:id="7" w:name="_Toc85405216"/>
      <w:bookmarkStart w:id="8" w:name="_Toc216786434"/>
      <w:r>
        <w:t>Overview</w:t>
      </w:r>
      <w:bookmarkEnd w:id="7"/>
      <w:bookmarkEnd w:id="8"/>
    </w:p>
    <w:p w14:paraId="4BD2F06A" w14:textId="4E4644CF" w:rsidR="00671EBC" w:rsidRDefault="005841D0" w:rsidP="00BC2E54">
      <w:pPr>
        <w:pStyle w:val="NormalParagraph"/>
      </w:pPr>
      <w:r>
        <w:t xml:space="preserve">This document has been produced in response to concern in the public and private domain regarding the </w:t>
      </w:r>
      <w:r w:rsidR="00DC5D53">
        <w:t>practice of lea</w:t>
      </w:r>
      <w:r w:rsidR="00A02104">
        <w:t>s</w:t>
      </w:r>
      <w:r w:rsidR="00DC5D53">
        <w:t xml:space="preserve">ing </w:t>
      </w:r>
      <w:r w:rsidR="00D91531">
        <w:t xml:space="preserve">access to </w:t>
      </w:r>
      <w:r w:rsidR="00CA5F96" w:rsidRPr="00A625B6">
        <w:t xml:space="preserve">the global mobile signalling system </w:t>
      </w:r>
      <w:r w:rsidR="00CA5F96">
        <w:t xml:space="preserve">and the leasing of numbers and addresses to </w:t>
      </w:r>
      <w:r w:rsidR="00CA5F96" w:rsidRPr="0068255E">
        <w:t xml:space="preserve">send and receive </w:t>
      </w:r>
      <w:proofErr w:type="gramStart"/>
      <w:r w:rsidR="00CA5F96" w:rsidRPr="0068255E">
        <w:t>signals</w:t>
      </w:r>
      <w:r w:rsidR="00CA5F96">
        <w:t xml:space="preserve"> </w:t>
      </w:r>
      <w:r>
        <w:t xml:space="preserve"> to</w:t>
      </w:r>
      <w:proofErr w:type="gramEnd"/>
      <w:r>
        <w:t xml:space="preserve"> both members and non-members of the GSMA. </w:t>
      </w:r>
    </w:p>
    <w:p w14:paraId="04F3C4C7" w14:textId="6B7F13A9" w:rsidR="005841D0" w:rsidRDefault="005841D0" w:rsidP="00BC2E54">
      <w:pPr>
        <w:pStyle w:val="NormalParagraph"/>
      </w:pPr>
      <w:r>
        <w:t xml:space="preserve">This document addresses the various uses of leased </w:t>
      </w:r>
      <w:r w:rsidR="00CC2621">
        <w:t xml:space="preserve">SCCP </w:t>
      </w:r>
      <w:r w:rsidR="00ED4A9E">
        <w:t>Global Titles</w:t>
      </w:r>
      <w:r w:rsidR="00B23B08">
        <w:t>, or</w:t>
      </w:r>
      <w:r w:rsidR="00ED4A9E">
        <w:t xml:space="preserve"> </w:t>
      </w:r>
      <w:r w:rsidR="007E7A68">
        <w:t>“</w:t>
      </w:r>
      <w:r>
        <w:t>GTs</w:t>
      </w:r>
      <w:r w:rsidR="007E7A68">
        <w:t>”</w:t>
      </w:r>
      <w:r>
        <w:t xml:space="preserve">, with a particular focus on unauthorised use cases. Unauthorised use typically exploits known vulnerabilities that are documented in GSMA PRD FS.11 </w:t>
      </w:r>
      <w:r>
        <w:fldChar w:fldCharType="begin"/>
      </w:r>
      <w:r>
        <w:instrText xml:space="preserve"> REF _Ref117508896 \r \h </w:instrText>
      </w:r>
      <w:r>
        <w:fldChar w:fldCharType="separate"/>
      </w:r>
      <w:r>
        <w:t>[5]</w:t>
      </w:r>
      <w:r>
        <w:fldChar w:fldCharType="end"/>
      </w:r>
      <w:r>
        <w:t xml:space="preserve"> and elsewhere and could potentially form an attack in extreme cases.</w:t>
      </w:r>
      <w:r w:rsidR="004D57A0">
        <w:t xml:space="preserve"> </w:t>
      </w:r>
      <w:r w:rsidR="004D57A0" w:rsidRPr="00B644EC">
        <w:t xml:space="preserve">The document also considers Diameter End Point Addresses, “DEPA”, </w:t>
      </w:r>
      <w:r w:rsidR="00642FD5">
        <w:t>l</w:t>
      </w:r>
      <w:r w:rsidR="004D57A0" w:rsidRPr="00B644EC">
        <w:t>easing. Details of known vulnerabilities in the Diameter protocol are documented in GSMA PRD FS.19</w:t>
      </w:r>
      <w:r w:rsidR="006D21F8">
        <w:t xml:space="preserve"> </w:t>
      </w:r>
      <w:r w:rsidR="004D57A0" w:rsidRPr="00B644EC">
        <w:fldChar w:fldCharType="begin"/>
      </w:r>
      <w:r w:rsidR="004D57A0" w:rsidRPr="00B644EC">
        <w:instrText xml:space="preserve"> REF _Ref193198115 \r \h  \* MERGEFORMAT </w:instrText>
      </w:r>
      <w:r w:rsidR="004D57A0" w:rsidRPr="00B644EC">
        <w:fldChar w:fldCharType="separate"/>
      </w:r>
      <w:r w:rsidR="004D57A0" w:rsidRPr="00B644EC">
        <w:t>[10]</w:t>
      </w:r>
      <w:r w:rsidR="004D57A0" w:rsidRPr="00B644EC">
        <w:fldChar w:fldCharType="end"/>
      </w:r>
      <w:r w:rsidR="004D57A0" w:rsidRPr="00B644EC">
        <w:t>.</w:t>
      </w:r>
    </w:p>
    <w:p w14:paraId="16D0C1A4" w14:textId="17A74A65" w:rsidR="005841D0" w:rsidRDefault="005841D0" w:rsidP="00BC2E54">
      <w:pPr>
        <w:pStyle w:val="NormalParagraph"/>
      </w:pPr>
      <w:r>
        <w:t>The principles of this document can apply equally to other protocols (e.g. GTP-C and HTTP2/5G). Specifically, leasing of network addressing resources used by these protocols, especially in the absence of transparency, should be avoided and other options to meeting legitimate business needs should be explored first. This document may be further developed in the future to add specific requirements for such protocols.</w:t>
      </w:r>
    </w:p>
    <w:p w14:paraId="61A15EA8" w14:textId="5A526F62" w:rsidR="005841D0" w:rsidRDefault="005841D0" w:rsidP="00BC2E54">
      <w:pPr>
        <w:pStyle w:val="NormalParagraph"/>
      </w:pPr>
      <w:r>
        <w:t>Sectio</w:t>
      </w:r>
      <w:r w:rsidR="00236AD1">
        <w:t xml:space="preserve">n </w:t>
      </w:r>
      <w:r w:rsidR="000E2B75">
        <w:fldChar w:fldCharType="begin"/>
      </w:r>
      <w:r w:rsidR="000E2B75">
        <w:instrText xml:space="preserve"> REF _Ref85404105 \r \h </w:instrText>
      </w:r>
      <w:r w:rsidR="000E2B75">
        <w:fldChar w:fldCharType="separate"/>
      </w:r>
      <w:r w:rsidR="000E2B75">
        <w:t>6</w:t>
      </w:r>
      <w:r w:rsidR="000E2B75">
        <w:fldChar w:fldCharType="end"/>
      </w:r>
      <w:r>
        <w:t>, "</w:t>
      </w:r>
      <w:r w:rsidR="008E6A04">
        <w:t xml:space="preserve">Global Title </w:t>
      </w:r>
      <w:r w:rsidR="00362694">
        <w:t xml:space="preserve">and Diameter </w:t>
      </w:r>
      <w:r w:rsidR="00B473B9">
        <w:t>End Point A</w:t>
      </w:r>
      <w:r w:rsidR="00762F0B">
        <w:t xml:space="preserve">ddress </w:t>
      </w:r>
      <w:r w:rsidR="008E6A04">
        <w:t xml:space="preserve">Leasing </w:t>
      </w:r>
      <w:r w:rsidR="00DE0315">
        <w:t>Code of Conduct</w:t>
      </w:r>
      <w:r>
        <w:t xml:space="preserve">”, has been produced as a code of conduct (CoC) to which GT Lessors and Transit Carriers may self-declare compliance. The roles of these participants are described in section </w:t>
      </w:r>
      <w:r>
        <w:fldChar w:fldCharType="begin"/>
      </w:r>
      <w:r>
        <w:instrText xml:space="preserve"> REF _Ref85404166 \r \h </w:instrText>
      </w:r>
      <w:r>
        <w:fldChar w:fldCharType="separate"/>
      </w:r>
      <w:r w:rsidR="00E65E1E">
        <w:t>2.2</w:t>
      </w:r>
      <w:r>
        <w:fldChar w:fldCharType="end"/>
      </w:r>
      <w:r>
        <w:t xml:space="preserve">. It is envisaged that all GT Lessors and Transit Carriers that support the proper policing of GT Leasing will self-declare their adherence to the CoC. Whilst this document is non-binding, any party that voluntarily commits itself to the CoC is understood to treat those requirements as binding upon itself. </w:t>
      </w:r>
    </w:p>
    <w:p w14:paraId="0732B97F" w14:textId="094EE65D" w:rsidR="004C1AB0" w:rsidRPr="00291E52" w:rsidRDefault="003E339D" w:rsidP="00BC2E54">
      <w:pPr>
        <w:pStyle w:val="NormalParagraph"/>
        <w:rPr>
          <w:lang w:eastAsia="en-US" w:bidi="bn-BD"/>
        </w:rPr>
      </w:pPr>
      <w:r w:rsidRPr="0092104E">
        <w:rPr>
          <w:lang w:eastAsia="en-US" w:bidi="bn-BD"/>
        </w:rPr>
        <w:t xml:space="preserve">It should be noted </w:t>
      </w:r>
      <w:r>
        <w:rPr>
          <w:lang w:eastAsia="en-US" w:bidi="bn-BD"/>
        </w:rPr>
        <w:t>that the</w:t>
      </w:r>
      <w:r w:rsidRPr="0092104E">
        <w:rPr>
          <w:lang w:eastAsia="en-US" w:bidi="bn-BD"/>
        </w:rPr>
        <w:t xml:space="preserve"> document has taken a prescriptive approach of defining GT Leasing and addressing it. However, the document takes a different approach to </w:t>
      </w:r>
      <w:r>
        <w:rPr>
          <w:lang w:eastAsia="en-US" w:bidi="bn-BD"/>
        </w:rPr>
        <w:t>DEPA L</w:t>
      </w:r>
      <w:r w:rsidRPr="0092104E">
        <w:rPr>
          <w:lang w:eastAsia="en-US" w:bidi="bn-BD"/>
        </w:rPr>
        <w:t>easing</w:t>
      </w:r>
      <w:r>
        <w:rPr>
          <w:lang w:eastAsia="en-US" w:bidi="bn-BD"/>
        </w:rPr>
        <w:t xml:space="preserve">. </w:t>
      </w:r>
      <w:proofErr w:type="gramStart"/>
      <w:r>
        <w:rPr>
          <w:lang w:eastAsia="en-US" w:bidi="bn-BD"/>
        </w:rPr>
        <w:t>With the exception of</w:t>
      </w:r>
      <w:proofErr w:type="gramEnd"/>
      <w:r>
        <w:rPr>
          <w:lang w:eastAsia="en-US" w:bidi="bn-BD"/>
        </w:rPr>
        <w:t xml:space="preserve"> certain roaming enablement services, DEPA Leasing </w:t>
      </w:r>
      <w:r w:rsidRPr="0092104E">
        <w:rPr>
          <w:lang w:eastAsia="en-US" w:bidi="bn-BD"/>
        </w:rPr>
        <w:t xml:space="preserve">is </w:t>
      </w:r>
      <w:r>
        <w:rPr>
          <w:lang w:eastAsia="en-US" w:bidi="bn-BD"/>
        </w:rPr>
        <w:t xml:space="preserve">not </w:t>
      </w:r>
      <w:r w:rsidRPr="0092104E">
        <w:rPr>
          <w:lang w:eastAsia="en-US" w:bidi="bn-BD"/>
        </w:rPr>
        <w:t xml:space="preserve">a </w:t>
      </w:r>
      <w:proofErr w:type="spellStart"/>
      <w:proofErr w:type="gramStart"/>
      <w:r w:rsidRPr="0092104E">
        <w:rPr>
          <w:lang w:eastAsia="en-US" w:bidi="bn-BD"/>
        </w:rPr>
        <w:t>well defined</w:t>
      </w:r>
      <w:proofErr w:type="spellEnd"/>
      <w:proofErr w:type="gramEnd"/>
      <w:r w:rsidRPr="0092104E">
        <w:rPr>
          <w:lang w:eastAsia="en-US" w:bidi="bn-BD"/>
        </w:rPr>
        <w:t xml:space="preserve"> business model and</w:t>
      </w:r>
      <w:r>
        <w:rPr>
          <w:lang w:eastAsia="en-US" w:bidi="bn-BD"/>
        </w:rPr>
        <w:t>,</w:t>
      </w:r>
      <w:r w:rsidRPr="0092104E">
        <w:rPr>
          <w:lang w:eastAsia="en-US" w:bidi="bn-BD"/>
        </w:rPr>
        <w:t xml:space="preserve"> due to the nature of the Diameter protocol, a prescriptive approach would have many workarounds and loopholes.</w:t>
      </w:r>
    </w:p>
    <w:p w14:paraId="06B94813" w14:textId="77777777" w:rsidR="005841D0" w:rsidRDefault="005841D0" w:rsidP="00BC2E54">
      <w:pPr>
        <w:pStyle w:val="Heading2"/>
      </w:pPr>
      <w:bookmarkStart w:id="9" w:name="_Toc85405217"/>
      <w:bookmarkStart w:id="10" w:name="_Toc216786435"/>
      <w:r w:rsidRPr="00F14715">
        <w:t>Scope</w:t>
      </w:r>
      <w:bookmarkEnd w:id="4"/>
      <w:bookmarkEnd w:id="5"/>
      <w:bookmarkEnd w:id="9"/>
      <w:bookmarkEnd w:id="10"/>
    </w:p>
    <w:p w14:paraId="144421A3" w14:textId="77777777" w:rsidR="00F06242" w:rsidRDefault="005841D0" w:rsidP="00BC2E54">
      <w:pPr>
        <w:pStyle w:val="NormalParagraph"/>
      </w:pPr>
      <w:r>
        <w:t xml:space="preserve">This document is a reference document addressing </w:t>
      </w:r>
      <w:r w:rsidR="0022046F">
        <w:t>two related issues</w:t>
      </w:r>
      <w:r w:rsidR="00F06242">
        <w:t>:</w:t>
      </w:r>
    </w:p>
    <w:p w14:paraId="0B73CC14" w14:textId="1C49E56B" w:rsidR="0061786D" w:rsidRDefault="005841D0" w:rsidP="008463D6">
      <w:pPr>
        <w:pStyle w:val="NormalParagraph"/>
        <w:numPr>
          <w:ilvl w:val="0"/>
          <w:numId w:val="26"/>
        </w:numPr>
      </w:pPr>
      <w:r>
        <w:t>the leasing of Global Titles used within SS7 networks, motivations for this practice, how they are used</w:t>
      </w:r>
      <w:r w:rsidR="00A61F33">
        <w:t>;</w:t>
      </w:r>
      <w:r>
        <w:t xml:space="preserve"> and</w:t>
      </w:r>
    </w:p>
    <w:p w14:paraId="57EB7F98" w14:textId="77777777" w:rsidR="00E6293B" w:rsidRDefault="00E6293B" w:rsidP="00E6293B">
      <w:pPr>
        <w:pStyle w:val="NormalParagraph"/>
        <w:numPr>
          <w:ilvl w:val="0"/>
          <w:numId w:val="26"/>
        </w:numPr>
      </w:pPr>
      <w:r>
        <w:t xml:space="preserve">the leasing of Diameter End Point Addresses, including the motivations for this practice. </w:t>
      </w:r>
    </w:p>
    <w:p w14:paraId="0D0EA9BE" w14:textId="22CA4518" w:rsidR="005841D0" w:rsidRDefault="00BA67C1" w:rsidP="00236AD1">
      <w:pPr>
        <w:pStyle w:val="NormalParagraph"/>
      </w:pPr>
      <w:r>
        <w:t xml:space="preserve">This </w:t>
      </w:r>
      <w:r w:rsidR="005841D0">
        <w:t xml:space="preserve">code of conduct </w:t>
      </w:r>
      <w:r>
        <w:t xml:space="preserve">aims </w:t>
      </w:r>
      <w:r w:rsidR="005841D0">
        <w:t>to prevent abuse and the introduction of undesirable risks for mobile network operators (MNOs) and their customers. The focus of this document is on addressing the security and privacy risks associated with this practice with the goal of delivering transparency, traceability and accountability.</w:t>
      </w:r>
    </w:p>
    <w:p w14:paraId="06929147" w14:textId="75A260B8" w:rsidR="005841D0" w:rsidRDefault="005841D0" w:rsidP="00BC2E54">
      <w:pPr>
        <w:pStyle w:val="NormalParagraph"/>
      </w:pPr>
      <w:r>
        <w:t xml:space="preserve">The following activities </w:t>
      </w:r>
      <w:proofErr w:type="gramStart"/>
      <w:r>
        <w:t xml:space="preserve">are considered </w:t>
      </w:r>
      <w:r w:rsidR="00AA295A">
        <w:t>to be</w:t>
      </w:r>
      <w:proofErr w:type="gramEnd"/>
      <w:r>
        <w:t xml:space="preserve"> out of scope:</w:t>
      </w:r>
    </w:p>
    <w:p w14:paraId="3FDC0D8F" w14:textId="2E160D0E" w:rsidR="005841D0" w:rsidRDefault="005841D0" w:rsidP="00BC2E54">
      <w:pPr>
        <w:pStyle w:val="NormalParagraph"/>
        <w:numPr>
          <w:ilvl w:val="0"/>
          <w:numId w:val="23"/>
        </w:numPr>
      </w:pPr>
      <w:r>
        <w:lastRenderedPageBreak/>
        <w:t xml:space="preserve">Hosted services, such as those offered by third parties or centrally within </w:t>
      </w:r>
      <w:proofErr w:type="gramStart"/>
      <w:r>
        <w:t>a</w:t>
      </w:r>
      <w:proofErr w:type="gramEnd"/>
      <w:r>
        <w:t xml:space="preserve"> MNO group. In this case </w:t>
      </w:r>
      <w:r>
        <w:rPr>
          <w:lang w:eastAsia="en-US"/>
        </w:rPr>
        <w:t xml:space="preserve">it is reasonable for the host to use the GT </w:t>
      </w:r>
      <w:r w:rsidR="00540A6D">
        <w:rPr>
          <w:lang w:eastAsia="en-US"/>
        </w:rPr>
        <w:t>or DEPA</w:t>
      </w:r>
      <w:r w:rsidR="000A72AC">
        <w:rPr>
          <w:lang w:eastAsia="en-US"/>
        </w:rPr>
        <w:t>s</w:t>
      </w:r>
      <w:r w:rsidR="00540A6D">
        <w:rPr>
          <w:lang w:eastAsia="en-US"/>
        </w:rPr>
        <w:t xml:space="preserve"> </w:t>
      </w:r>
      <w:r>
        <w:rPr>
          <w:lang w:eastAsia="en-US"/>
        </w:rPr>
        <w:t xml:space="preserve">of its customer, this </w:t>
      </w:r>
      <w:r>
        <w:rPr>
          <w:b/>
          <w:bCs/>
          <w:lang w:eastAsia="en-US"/>
        </w:rPr>
        <w:t>is not</w:t>
      </w:r>
      <w:r>
        <w:rPr>
          <w:lang w:eastAsia="en-US"/>
        </w:rPr>
        <w:t xml:space="preserve"> considered </w:t>
      </w:r>
      <w:r w:rsidR="001879F6">
        <w:rPr>
          <w:lang w:eastAsia="en-US"/>
        </w:rPr>
        <w:t xml:space="preserve">to constitute </w:t>
      </w:r>
      <w:r>
        <w:rPr>
          <w:lang w:eastAsia="en-US"/>
        </w:rPr>
        <w:t xml:space="preserve">GT </w:t>
      </w:r>
      <w:r w:rsidR="001879F6">
        <w:rPr>
          <w:lang w:eastAsia="en-US"/>
        </w:rPr>
        <w:t xml:space="preserve">or DEPA </w:t>
      </w:r>
      <w:r>
        <w:rPr>
          <w:lang w:eastAsia="en-US"/>
        </w:rPr>
        <w:t xml:space="preserve">leasing. </w:t>
      </w:r>
      <w:r w:rsidRPr="00E12C1A">
        <w:rPr>
          <w:lang w:eastAsia="en-US"/>
        </w:rPr>
        <w:t>If the client’s GT</w:t>
      </w:r>
      <w:r w:rsidR="004320C7">
        <w:rPr>
          <w:lang w:eastAsia="en-US"/>
        </w:rPr>
        <w:t xml:space="preserve"> od DEPA</w:t>
      </w:r>
      <w:r w:rsidRPr="00E12C1A">
        <w:rPr>
          <w:lang w:eastAsia="en-US"/>
        </w:rPr>
        <w:t xml:space="preserve"> is used for any other </w:t>
      </w:r>
      <w:r>
        <w:rPr>
          <w:lang w:eastAsia="en-US"/>
        </w:rPr>
        <w:t xml:space="preserve">purpose than hosted services, </w:t>
      </w:r>
      <w:r w:rsidRPr="00E12C1A">
        <w:rPr>
          <w:lang w:eastAsia="en-US"/>
        </w:rPr>
        <w:t xml:space="preserve">then that </w:t>
      </w:r>
      <w:r>
        <w:rPr>
          <w:lang w:eastAsia="en-US"/>
        </w:rPr>
        <w:t xml:space="preserve">other activity is </w:t>
      </w:r>
      <w:r w:rsidRPr="00E12C1A">
        <w:rPr>
          <w:lang w:eastAsia="en-US"/>
        </w:rPr>
        <w:t xml:space="preserve">GT </w:t>
      </w:r>
      <w:r w:rsidR="00E91CFF">
        <w:rPr>
          <w:lang w:eastAsia="en-US"/>
        </w:rPr>
        <w:t xml:space="preserve">or DEPA </w:t>
      </w:r>
      <w:r w:rsidRPr="00E12C1A">
        <w:rPr>
          <w:lang w:eastAsia="en-US"/>
        </w:rPr>
        <w:t xml:space="preserve">leasing and must comply with the requirements of this </w:t>
      </w:r>
      <w:r>
        <w:rPr>
          <w:lang w:eastAsia="en-US"/>
        </w:rPr>
        <w:t>CoC</w:t>
      </w:r>
      <w:r w:rsidRPr="00E12C1A">
        <w:rPr>
          <w:lang w:eastAsia="en-US"/>
        </w:rPr>
        <w:t>.</w:t>
      </w:r>
    </w:p>
    <w:p w14:paraId="78010CB3" w14:textId="7165713F" w:rsidR="005841D0" w:rsidRDefault="005841D0" w:rsidP="00BC2E54">
      <w:pPr>
        <w:pStyle w:val="NormalParagraph"/>
        <w:numPr>
          <w:ilvl w:val="0"/>
          <w:numId w:val="23"/>
        </w:numPr>
      </w:pPr>
      <w:r>
        <w:rPr>
          <w:lang w:eastAsia="en-US"/>
        </w:rPr>
        <w:t xml:space="preserve">Use of GTs </w:t>
      </w:r>
      <w:r w:rsidR="007807FB">
        <w:rPr>
          <w:lang w:eastAsia="en-US"/>
        </w:rPr>
        <w:t xml:space="preserve">or DEPAs </w:t>
      </w:r>
      <w:r w:rsidR="00A3541F">
        <w:rPr>
          <w:lang w:eastAsia="en-US"/>
        </w:rPr>
        <w:t xml:space="preserve">to relay </w:t>
      </w:r>
      <w:r w:rsidR="00286941">
        <w:rPr>
          <w:lang w:eastAsia="en-US"/>
        </w:rPr>
        <w:t xml:space="preserve">signalling </w:t>
      </w:r>
      <w:r w:rsidR="00937F68">
        <w:rPr>
          <w:lang w:eastAsia="en-US"/>
        </w:rPr>
        <w:t xml:space="preserve">or translation services </w:t>
      </w:r>
      <w:r w:rsidR="00760051">
        <w:rPr>
          <w:lang w:eastAsia="en-US"/>
        </w:rPr>
        <w:t>for</w:t>
      </w:r>
      <w:r>
        <w:rPr>
          <w:lang w:eastAsia="en-US"/>
        </w:rPr>
        <w:t xml:space="preserve"> roaming enabling services</w:t>
      </w:r>
      <w:r w:rsidR="00A215C0">
        <w:rPr>
          <w:lang w:eastAsia="en-US"/>
        </w:rPr>
        <w:t>,</w:t>
      </w:r>
      <w:r>
        <w:rPr>
          <w:lang w:eastAsia="en-US"/>
        </w:rPr>
        <w:t xml:space="preserve"> as defined in PRDs BA.21 </w:t>
      </w:r>
      <w:r>
        <w:rPr>
          <w:lang w:eastAsia="en-US"/>
        </w:rPr>
        <w:fldChar w:fldCharType="begin"/>
      </w:r>
      <w:r>
        <w:rPr>
          <w:lang w:eastAsia="en-US"/>
        </w:rPr>
        <w:instrText xml:space="preserve"> REF _Ref134614266 \r \h </w:instrText>
      </w:r>
      <w:r>
        <w:rPr>
          <w:lang w:eastAsia="en-US"/>
        </w:rPr>
      </w:r>
      <w:r>
        <w:rPr>
          <w:lang w:eastAsia="en-US"/>
        </w:rPr>
        <w:fldChar w:fldCharType="separate"/>
      </w:r>
      <w:r>
        <w:rPr>
          <w:lang w:eastAsia="en-US"/>
        </w:rPr>
        <w:t>[8]</w:t>
      </w:r>
      <w:r>
        <w:rPr>
          <w:lang w:eastAsia="en-US"/>
        </w:rPr>
        <w:fldChar w:fldCharType="end"/>
      </w:r>
      <w:r>
        <w:rPr>
          <w:lang w:eastAsia="en-US"/>
        </w:rPr>
        <w:t xml:space="preserve"> and BA.23 </w:t>
      </w:r>
      <w:r>
        <w:rPr>
          <w:lang w:eastAsia="en-US"/>
        </w:rPr>
        <w:fldChar w:fldCharType="begin"/>
      </w:r>
      <w:r>
        <w:rPr>
          <w:lang w:eastAsia="en-US"/>
        </w:rPr>
        <w:instrText xml:space="preserve"> REF _Ref117263423 \r \h </w:instrText>
      </w:r>
      <w:r>
        <w:rPr>
          <w:lang w:eastAsia="en-US"/>
        </w:rPr>
      </w:r>
      <w:r>
        <w:rPr>
          <w:lang w:eastAsia="en-US"/>
        </w:rPr>
        <w:fldChar w:fldCharType="separate"/>
      </w:r>
      <w:r>
        <w:rPr>
          <w:lang w:eastAsia="en-US"/>
        </w:rPr>
        <w:t>[9]</w:t>
      </w:r>
      <w:r>
        <w:rPr>
          <w:lang w:eastAsia="en-US"/>
        </w:rPr>
        <w:fldChar w:fldCharType="end"/>
      </w:r>
      <w:r>
        <w:rPr>
          <w:lang w:eastAsia="en-US"/>
        </w:rPr>
        <w:t>.</w:t>
      </w:r>
    </w:p>
    <w:p w14:paraId="5B51227E" w14:textId="77777777" w:rsidR="005841D0" w:rsidRDefault="005841D0" w:rsidP="00BC2E54">
      <w:pPr>
        <w:pStyle w:val="NormalParagraph"/>
        <w:numPr>
          <w:ilvl w:val="0"/>
          <w:numId w:val="23"/>
        </w:numPr>
      </w:pPr>
      <w:r>
        <w:t xml:space="preserve">Details regarding the vulnerabilities of mobile networks and how these vulnerabilities can be exploited are outside the scope of this document. </w:t>
      </w:r>
    </w:p>
    <w:p w14:paraId="52A5122A" w14:textId="63DC46EA" w:rsidR="005841D0" w:rsidRDefault="005841D0" w:rsidP="00BC2E54">
      <w:pPr>
        <w:pStyle w:val="NormalParagraph"/>
      </w:pPr>
      <w:r>
        <w:t xml:space="preserve">Additionally, consequences for those parties that lease GTs </w:t>
      </w:r>
      <w:r w:rsidR="00303297">
        <w:t xml:space="preserve">or DEPAs </w:t>
      </w:r>
      <w:r>
        <w:t>that have enabled unauthorised usage are outside of the scope of this document. Such activity is subject to the terms of the commercial relationship between the relevant parties.</w:t>
      </w:r>
    </w:p>
    <w:p w14:paraId="21B6BFA8" w14:textId="77777777" w:rsidR="005841D0" w:rsidRPr="001B1649" w:rsidRDefault="005841D0" w:rsidP="00BC2E54">
      <w:pPr>
        <w:pStyle w:val="Heading2"/>
      </w:pPr>
      <w:bookmarkStart w:id="11" w:name="_Toc327447333"/>
      <w:bookmarkStart w:id="12" w:name="_Toc327548001"/>
      <w:bookmarkStart w:id="13" w:name="_Toc327548201"/>
      <w:bookmarkStart w:id="14" w:name="_Toc85405218"/>
      <w:bookmarkStart w:id="15" w:name="_Toc216786436"/>
      <w:r w:rsidRPr="001B1649">
        <w:t>Definition</w:t>
      </w:r>
      <w:r>
        <w:t>s</w:t>
      </w:r>
      <w:bookmarkEnd w:id="11"/>
      <w:bookmarkEnd w:id="12"/>
      <w:bookmarkEnd w:id="13"/>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5841D0" w:rsidRPr="00427F8A" w14:paraId="0E066C0E" w14:textId="77777777" w:rsidTr="00E44203">
        <w:trPr>
          <w:cantSplit/>
          <w:tblHeader/>
        </w:trPr>
        <w:tc>
          <w:tcPr>
            <w:tcW w:w="1230" w:type="dxa"/>
            <w:shd w:val="clear" w:color="auto" w:fill="DE002B"/>
          </w:tcPr>
          <w:p w14:paraId="7AE3672B" w14:textId="77777777" w:rsidR="005841D0" w:rsidRPr="00427F8A" w:rsidRDefault="005841D0" w:rsidP="00BC2E54">
            <w:pPr>
              <w:pStyle w:val="TableHeader"/>
            </w:pPr>
            <w:r w:rsidRPr="00427F8A">
              <w:t xml:space="preserve">Term </w:t>
            </w:r>
          </w:p>
        </w:tc>
        <w:tc>
          <w:tcPr>
            <w:tcW w:w="7786" w:type="dxa"/>
            <w:shd w:val="clear" w:color="auto" w:fill="DE002B"/>
          </w:tcPr>
          <w:p w14:paraId="00F9E658" w14:textId="77777777" w:rsidR="005841D0" w:rsidRPr="00427F8A" w:rsidRDefault="005841D0" w:rsidP="00BC2E54">
            <w:pPr>
              <w:pStyle w:val="TableHeader"/>
            </w:pPr>
            <w:r w:rsidRPr="00427F8A">
              <w:t>Description</w:t>
            </w:r>
          </w:p>
        </w:tc>
      </w:tr>
      <w:tr w:rsidR="005841D0" w:rsidRPr="001B1649" w14:paraId="12273061" w14:textId="77777777" w:rsidTr="00E44203">
        <w:tc>
          <w:tcPr>
            <w:tcW w:w="1230" w:type="dxa"/>
            <w:vAlign w:val="center"/>
          </w:tcPr>
          <w:p w14:paraId="276BFD66" w14:textId="77777777" w:rsidR="005841D0" w:rsidRPr="00C6177A" w:rsidRDefault="005841D0" w:rsidP="00BC2E54">
            <w:pPr>
              <w:pStyle w:val="TableText"/>
            </w:pPr>
            <w:r>
              <w:t>Global Title</w:t>
            </w:r>
          </w:p>
        </w:tc>
        <w:tc>
          <w:tcPr>
            <w:tcW w:w="7786" w:type="dxa"/>
            <w:vAlign w:val="center"/>
          </w:tcPr>
          <w:p w14:paraId="74E50CC1" w14:textId="77777777" w:rsidR="005841D0" w:rsidRPr="00C6177A" w:rsidRDefault="005841D0" w:rsidP="00BC2E54">
            <w:pPr>
              <w:pStyle w:val="TableText"/>
            </w:pPr>
            <w:r w:rsidRPr="009D1341">
              <w:t xml:space="preserve">A global title (GT) is </w:t>
            </w:r>
            <w:r w:rsidRPr="008007DC">
              <w:t>an address used in the SCCP protocol for routing signalling messages on telecommunications networks</w:t>
            </w:r>
          </w:p>
        </w:tc>
      </w:tr>
      <w:tr w:rsidR="00E44203" w:rsidRPr="001B1649" w14:paraId="289B561C" w14:textId="77777777" w:rsidTr="005D3CFA">
        <w:tc>
          <w:tcPr>
            <w:tcW w:w="1230" w:type="dxa"/>
            <w:vAlign w:val="center"/>
          </w:tcPr>
          <w:p w14:paraId="2C160AF4" w14:textId="6767AF73" w:rsidR="00E44203" w:rsidRDefault="00E44203" w:rsidP="00E44203">
            <w:pPr>
              <w:pStyle w:val="TableText"/>
            </w:pPr>
            <w:r>
              <w:t>Diameter End Point Address (DEPA)</w:t>
            </w:r>
          </w:p>
        </w:tc>
        <w:tc>
          <w:tcPr>
            <w:tcW w:w="7786" w:type="dxa"/>
            <w:vAlign w:val="center"/>
          </w:tcPr>
          <w:p w14:paraId="64AEFFE1" w14:textId="0FC2AC11" w:rsidR="00E44203" w:rsidRPr="009D1341" w:rsidRDefault="00E44203" w:rsidP="006A389C">
            <w:pPr>
              <w:pStyle w:val="TableText"/>
            </w:pPr>
            <w:r>
              <w:t xml:space="preserve">A host, realm or, in the </w:t>
            </w:r>
            <w:r w:rsidRPr="006A389C">
              <w:t>context</w:t>
            </w:r>
            <w:r>
              <w:t xml:space="preserve"> of this document, any other resource that a third party can access to have the appearance of controlling an MNO’s node</w:t>
            </w:r>
          </w:p>
        </w:tc>
      </w:tr>
      <w:tr w:rsidR="00E44203" w:rsidRPr="001B1649" w14:paraId="58BD6935" w14:textId="77777777" w:rsidTr="005D3CFA">
        <w:tc>
          <w:tcPr>
            <w:tcW w:w="1230" w:type="dxa"/>
            <w:vAlign w:val="center"/>
          </w:tcPr>
          <w:p w14:paraId="5B501986" w14:textId="3A4FC11F" w:rsidR="00E44203" w:rsidRDefault="00E44203" w:rsidP="00E44203">
            <w:pPr>
              <w:pStyle w:val="TableText"/>
            </w:pPr>
            <w:r>
              <w:t>Host</w:t>
            </w:r>
          </w:p>
        </w:tc>
        <w:tc>
          <w:tcPr>
            <w:tcW w:w="7786" w:type="dxa"/>
            <w:vAlign w:val="center"/>
          </w:tcPr>
          <w:p w14:paraId="2AF01E0C" w14:textId="20B09DE7" w:rsidR="00E44203" w:rsidRPr="009D1341" w:rsidRDefault="00E44203" w:rsidP="00E44203">
            <w:pPr>
              <w:pStyle w:val="TableText"/>
            </w:pPr>
            <w:r>
              <w:t>A u</w:t>
            </w:r>
            <w:r w:rsidRPr="00271B9D">
              <w:t xml:space="preserve">nique identifier for a Diameter node or peer within a network, used to identify the origin </w:t>
            </w:r>
            <w:r>
              <w:t xml:space="preserve">or destination node </w:t>
            </w:r>
            <w:r w:rsidRPr="00271B9D">
              <w:t>of Diameter messages</w:t>
            </w:r>
          </w:p>
        </w:tc>
      </w:tr>
      <w:tr w:rsidR="00E44203" w:rsidRPr="001B1649" w14:paraId="6ACED34C" w14:textId="77777777" w:rsidTr="00E44203">
        <w:tc>
          <w:tcPr>
            <w:tcW w:w="1230" w:type="dxa"/>
            <w:vAlign w:val="center"/>
          </w:tcPr>
          <w:p w14:paraId="363B7B24" w14:textId="32A66004" w:rsidR="00E44203" w:rsidRDefault="00E44203" w:rsidP="00E44203">
            <w:pPr>
              <w:pStyle w:val="TableText"/>
            </w:pPr>
            <w:r>
              <w:t>Realm</w:t>
            </w:r>
          </w:p>
        </w:tc>
        <w:tc>
          <w:tcPr>
            <w:tcW w:w="7786" w:type="dxa"/>
            <w:vAlign w:val="center"/>
          </w:tcPr>
          <w:p w14:paraId="22EFF676" w14:textId="33BE3CAA" w:rsidR="00E44203" w:rsidRPr="009D1341" w:rsidRDefault="00E44203" w:rsidP="00E44203">
            <w:pPr>
              <w:pStyle w:val="TableText"/>
            </w:pPr>
            <w:r>
              <w:t>A</w:t>
            </w:r>
            <w:r w:rsidRPr="00271B9D">
              <w:t xml:space="preserve"> realm is an administrative domain</w:t>
            </w:r>
            <w:r>
              <w:t xml:space="preserve"> </w:t>
            </w:r>
            <w:r w:rsidRPr="00271B9D">
              <w:t>used for routing Diameter messages and identifying the origin or destination of a Diameter message</w:t>
            </w:r>
          </w:p>
        </w:tc>
      </w:tr>
    </w:tbl>
    <w:p w14:paraId="0477B675" w14:textId="77777777" w:rsidR="005841D0" w:rsidRPr="001B1649" w:rsidRDefault="005841D0" w:rsidP="005841D0">
      <w:pPr>
        <w:pStyle w:val="Heading2"/>
      </w:pPr>
      <w:bookmarkStart w:id="16" w:name="_Toc327447334"/>
      <w:bookmarkStart w:id="17" w:name="_Toc327548002"/>
      <w:bookmarkStart w:id="18" w:name="_Toc327548202"/>
      <w:bookmarkStart w:id="19" w:name="_Toc85405219"/>
      <w:bookmarkStart w:id="20" w:name="_Toc216786437"/>
      <w:r>
        <w:t>Abbreviations</w:t>
      </w:r>
      <w:bookmarkEnd w:id="16"/>
      <w:bookmarkEnd w:id="17"/>
      <w:bookmarkEnd w:id="18"/>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7784"/>
      </w:tblGrid>
      <w:tr w:rsidR="005841D0" w:rsidRPr="001B1649" w14:paraId="07084D9D" w14:textId="77777777" w:rsidTr="00E82243">
        <w:trPr>
          <w:cantSplit/>
          <w:tblHeader/>
        </w:trPr>
        <w:tc>
          <w:tcPr>
            <w:tcW w:w="1232" w:type="dxa"/>
            <w:shd w:val="clear" w:color="auto" w:fill="DE002B"/>
          </w:tcPr>
          <w:p w14:paraId="7F9F6956" w14:textId="77777777" w:rsidR="005841D0" w:rsidRPr="00BC0319" w:rsidRDefault="005841D0" w:rsidP="00BC2E54">
            <w:pPr>
              <w:pStyle w:val="TableHeader"/>
            </w:pPr>
            <w:r w:rsidRPr="00BC0319">
              <w:t xml:space="preserve">Term </w:t>
            </w:r>
          </w:p>
        </w:tc>
        <w:tc>
          <w:tcPr>
            <w:tcW w:w="7784" w:type="dxa"/>
            <w:shd w:val="clear" w:color="auto" w:fill="DE002B"/>
          </w:tcPr>
          <w:p w14:paraId="21990959" w14:textId="77777777" w:rsidR="005841D0" w:rsidRPr="00BC0319" w:rsidRDefault="005841D0" w:rsidP="00BC2E54">
            <w:pPr>
              <w:pStyle w:val="TableHeader"/>
            </w:pPr>
            <w:r w:rsidRPr="00BC0319">
              <w:t>Description</w:t>
            </w:r>
          </w:p>
        </w:tc>
      </w:tr>
      <w:tr w:rsidR="005841D0" w:rsidRPr="001B1649" w14:paraId="6AC07A66" w14:textId="77777777" w:rsidTr="00E82243">
        <w:trPr>
          <w:cantSplit/>
          <w:tblHeader/>
        </w:trPr>
        <w:tc>
          <w:tcPr>
            <w:tcW w:w="1232" w:type="dxa"/>
          </w:tcPr>
          <w:p w14:paraId="64962EF0" w14:textId="77777777" w:rsidR="005841D0" w:rsidRPr="00BC0319" w:rsidRDefault="005841D0" w:rsidP="00BC2E54">
            <w:pPr>
              <w:pStyle w:val="TableText"/>
            </w:pPr>
            <w:r>
              <w:t>API</w:t>
            </w:r>
          </w:p>
        </w:tc>
        <w:tc>
          <w:tcPr>
            <w:tcW w:w="7784" w:type="dxa"/>
          </w:tcPr>
          <w:p w14:paraId="7093A226" w14:textId="77777777" w:rsidR="005841D0" w:rsidRPr="00BC0319" w:rsidRDefault="005841D0" w:rsidP="00BC2E54">
            <w:pPr>
              <w:pStyle w:val="TableText"/>
            </w:pPr>
            <w:r>
              <w:t>Application Programming Interface</w:t>
            </w:r>
          </w:p>
        </w:tc>
      </w:tr>
      <w:tr w:rsidR="005841D0" w:rsidRPr="001B1649" w14:paraId="4FE9E823" w14:textId="77777777" w:rsidTr="00E82243">
        <w:trPr>
          <w:cantSplit/>
          <w:tblHeader/>
        </w:trPr>
        <w:tc>
          <w:tcPr>
            <w:tcW w:w="1232" w:type="dxa"/>
          </w:tcPr>
          <w:p w14:paraId="752478C9" w14:textId="77777777" w:rsidR="005841D0" w:rsidRDefault="005841D0" w:rsidP="00BC2E54">
            <w:pPr>
              <w:pStyle w:val="TableText"/>
            </w:pPr>
            <w:proofErr w:type="spellStart"/>
            <w:r>
              <w:t>CdPA</w:t>
            </w:r>
            <w:proofErr w:type="spellEnd"/>
          </w:p>
        </w:tc>
        <w:tc>
          <w:tcPr>
            <w:tcW w:w="7784" w:type="dxa"/>
          </w:tcPr>
          <w:p w14:paraId="133AC024" w14:textId="77777777" w:rsidR="005841D0" w:rsidRDefault="005841D0" w:rsidP="00BC2E54">
            <w:pPr>
              <w:pStyle w:val="TableText"/>
            </w:pPr>
            <w:r>
              <w:t>Called Party Address</w:t>
            </w:r>
          </w:p>
        </w:tc>
      </w:tr>
      <w:tr w:rsidR="005841D0" w:rsidRPr="001B1649" w14:paraId="69F8908C" w14:textId="77777777" w:rsidTr="00E82243">
        <w:trPr>
          <w:cantSplit/>
          <w:tblHeader/>
        </w:trPr>
        <w:tc>
          <w:tcPr>
            <w:tcW w:w="1232" w:type="dxa"/>
          </w:tcPr>
          <w:p w14:paraId="5B7B765B" w14:textId="77777777" w:rsidR="005841D0" w:rsidRDefault="005841D0" w:rsidP="00BC2E54">
            <w:pPr>
              <w:pStyle w:val="TableText"/>
            </w:pPr>
            <w:proofErr w:type="spellStart"/>
            <w:r>
              <w:t>CgPA</w:t>
            </w:r>
            <w:proofErr w:type="spellEnd"/>
          </w:p>
        </w:tc>
        <w:tc>
          <w:tcPr>
            <w:tcW w:w="7784" w:type="dxa"/>
          </w:tcPr>
          <w:p w14:paraId="2A7873A0" w14:textId="77777777" w:rsidR="005841D0" w:rsidRDefault="005841D0" w:rsidP="00BC2E54">
            <w:pPr>
              <w:pStyle w:val="TableText"/>
            </w:pPr>
            <w:r>
              <w:t>Calling Party Address</w:t>
            </w:r>
          </w:p>
        </w:tc>
      </w:tr>
      <w:tr w:rsidR="005841D0" w:rsidRPr="001B1649" w14:paraId="243EAE64" w14:textId="77777777" w:rsidTr="00E82243">
        <w:trPr>
          <w:cantSplit/>
          <w:tblHeader/>
        </w:trPr>
        <w:tc>
          <w:tcPr>
            <w:tcW w:w="1232" w:type="dxa"/>
          </w:tcPr>
          <w:p w14:paraId="7FCE3960" w14:textId="77777777" w:rsidR="005841D0" w:rsidRPr="00381F51" w:rsidRDefault="005841D0" w:rsidP="00BC2E54">
            <w:pPr>
              <w:pStyle w:val="TableText"/>
            </w:pPr>
            <w:r w:rsidRPr="00381F51">
              <w:t>CoC</w:t>
            </w:r>
          </w:p>
        </w:tc>
        <w:tc>
          <w:tcPr>
            <w:tcW w:w="7784" w:type="dxa"/>
          </w:tcPr>
          <w:p w14:paraId="257C1502" w14:textId="77777777" w:rsidR="005841D0" w:rsidRPr="00381F51" w:rsidRDefault="005841D0" w:rsidP="00BC2E54">
            <w:pPr>
              <w:pStyle w:val="TableText"/>
            </w:pPr>
            <w:r w:rsidRPr="00381F51">
              <w:t>Code of Conduct</w:t>
            </w:r>
          </w:p>
        </w:tc>
      </w:tr>
      <w:tr w:rsidR="007B1990" w:rsidRPr="001B1649" w14:paraId="52895DF5" w14:textId="77777777" w:rsidTr="00B644EC">
        <w:trPr>
          <w:cantSplit/>
        </w:trPr>
        <w:tc>
          <w:tcPr>
            <w:tcW w:w="1232" w:type="dxa"/>
          </w:tcPr>
          <w:p w14:paraId="1F2D78DB" w14:textId="77777777" w:rsidR="007B1990" w:rsidRPr="00D87EFA" w:rsidRDefault="007B1990" w:rsidP="00B644EC">
            <w:pPr>
              <w:pStyle w:val="TableText"/>
              <w:rPr>
                <w:b/>
                <w:bCs/>
              </w:rPr>
            </w:pPr>
            <w:r>
              <w:t>DEPA</w:t>
            </w:r>
          </w:p>
        </w:tc>
        <w:tc>
          <w:tcPr>
            <w:tcW w:w="7784" w:type="dxa"/>
          </w:tcPr>
          <w:p w14:paraId="2E8229C6" w14:textId="77777777" w:rsidR="007B1990" w:rsidRDefault="007B1990" w:rsidP="00B644EC">
            <w:pPr>
              <w:pStyle w:val="TableText"/>
            </w:pPr>
            <w:r w:rsidRPr="00D87EFA">
              <w:t>Diameter End Point Address</w:t>
            </w:r>
          </w:p>
        </w:tc>
      </w:tr>
      <w:tr w:rsidR="005841D0" w:rsidRPr="001B1649" w14:paraId="0BAA254E" w14:textId="77777777" w:rsidTr="00E82243">
        <w:trPr>
          <w:cantSplit/>
          <w:tblHeader/>
        </w:trPr>
        <w:tc>
          <w:tcPr>
            <w:tcW w:w="1232" w:type="dxa"/>
          </w:tcPr>
          <w:p w14:paraId="13B502CE" w14:textId="77777777" w:rsidR="005841D0" w:rsidRPr="00381F51" w:rsidRDefault="005841D0" w:rsidP="00BC2E54">
            <w:pPr>
              <w:pStyle w:val="TableText"/>
            </w:pPr>
            <w:r>
              <w:t>DoS</w:t>
            </w:r>
          </w:p>
        </w:tc>
        <w:tc>
          <w:tcPr>
            <w:tcW w:w="7784" w:type="dxa"/>
          </w:tcPr>
          <w:p w14:paraId="22394F76" w14:textId="77777777" w:rsidR="005841D0" w:rsidRPr="00381F51" w:rsidRDefault="005841D0" w:rsidP="00BC2E54">
            <w:pPr>
              <w:pStyle w:val="TableText"/>
            </w:pPr>
            <w:r>
              <w:t>Denial of Service</w:t>
            </w:r>
          </w:p>
        </w:tc>
      </w:tr>
      <w:tr w:rsidR="003E2C62" w:rsidRPr="001B1649" w14:paraId="2C53FA26" w14:textId="77777777" w:rsidTr="00B644EC">
        <w:tc>
          <w:tcPr>
            <w:tcW w:w="1232" w:type="dxa"/>
            <w:vAlign w:val="center"/>
          </w:tcPr>
          <w:p w14:paraId="7F05490A" w14:textId="77777777" w:rsidR="003E2C62" w:rsidRDefault="003E2C62" w:rsidP="00B644EC">
            <w:pPr>
              <w:pStyle w:val="TableText"/>
            </w:pPr>
            <w:r>
              <w:t>FQDN</w:t>
            </w:r>
          </w:p>
        </w:tc>
        <w:tc>
          <w:tcPr>
            <w:tcW w:w="7784" w:type="dxa"/>
            <w:vAlign w:val="center"/>
          </w:tcPr>
          <w:p w14:paraId="08CFF0C2" w14:textId="77777777" w:rsidR="003E2C62" w:rsidRDefault="003E2C62" w:rsidP="00B644EC">
            <w:pPr>
              <w:pStyle w:val="TableText"/>
            </w:pPr>
            <w:r>
              <w:t>Fully Qualified Domain Name</w:t>
            </w:r>
          </w:p>
        </w:tc>
      </w:tr>
      <w:tr w:rsidR="005841D0" w:rsidRPr="001B1649" w14:paraId="67332182" w14:textId="77777777" w:rsidTr="00E82243">
        <w:tc>
          <w:tcPr>
            <w:tcW w:w="1232" w:type="dxa"/>
            <w:vAlign w:val="center"/>
          </w:tcPr>
          <w:p w14:paraId="1965E719" w14:textId="77777777" w:rsidR="005841D0" w:rsidRPr="00C6177A" w:rsidRDefault="005841D0" w:rsidP="00BC2E54">
            <w:pPr>
              <w:pStyle w:val="TableText"/>
            </w:pPr>
            <w:r>
              <w:t>GT</w:t>
            </w:r>
          </w:p>
        </w:tc>
        <w:tc>
          <w:tcPr>
            <w:tcW w:w="7784" w:type="dxa"/>
            <w:vAlign w:val="center"/>
          </w:tcPr>
          <w:p w14:paraId="755F61AD" w14:textId="77777777" w:rsidR="005841D0" w:rsidRPr="00C6177A" w:rsidRDefault="005841D0" w:rsidP="00BC2E54">
            <w:pPr>
              <w:pStyle w:val="TableText"/>
            </w:pPr>
            <w:r>
              <w:t>Global Title</w:t>
            </w:r>
          </w:p>
        </w:tc>
      </w:tr>
      <w:tr w:rsidR="005841D0" w:rsidRPr="001B1649" w14:paraId="0E08E8A2" w14:textId="77777777" w:rsidTr="00E82243">
        <w:tc>
          <w:tcPr>
            <w:tcW w:w="1232" w:type="dxa"/>
            <w:vAlign w:val="center"/>
          </w:tcPr>
          <w:p w14:paraId="2F995537" w14:textId="77777777" w:rsidR="005841D0" w:rsidRDefault="005841D0" w:rsidP="00BC2E54">
            <w:pPr>
              <w:pStyle w:val="TableText"/>
            </w:pPr>
            <w:r>
              <w:t>GTT</w:t>
            </w:r>
          </w:p>
        </w:tc>
        <w:tc>
          <w:tcPr>
            <w:tcW w:w="7784" w:type="dxa"/>
            <w:vAlign w:val="center"/>
          </w:tcPr>
          <w:p w14:paraId="2866E26B" w14:textId="77777777" w:rsidR="005841D0" w:rsidRDefault="005841D0" w:rsidP="00BC2E54">
            <w:pPr>
              <w:pStyle w:val="TableText"/>
            </w:pPr>
            <w:r>
              <w:t>Global Title Translation</w:t>
            </w:r>
          </w:p>
        </w:tc>
      </w:tr>
      <w:tr w:rsidR="005841D0" w:rsidRPr="001B1649" w14:paraId="7FE664CF" w14:textId="77777777" w:rsidTr="00E82243">
        <w:tc>
          <w:tcPr>
            <w:tcW w:w="1232" w:type="dxa"/>
            <w:vAlign w:val="center"/>
          </w:tcPr>
          <w:p w14:paraId="06D14674" w14:textId="77777777" w:rsidR="005841D0" w:rsidRDefault="005841D0" w:rsidP="00BC2E54">
            <w:pPr>
              <w:pStyle w:val="TableText"/>
            </w:pPr>
            <w:proofErr w:type="spellStart"/>
            <w:r>
              <w:t>LoA</w:t>
            </w:r>
            <w:proofErr w:type="spellEnd"/>
          </w:p>
        </w:tc>
        <w:tc>
          <w:tcPr>
            <w:tcW w:w="7784" w:type="dxa"/>
            <w:vAlign w:val="center"/>
          </w:tcPr>
          <w:p w14:paraId="25887B14" w14:textId="77777777" w:rsidR="005841D0" w:rsidRDefault="005841D0" w:rsidP="00BC2E54">
            <w:pPr>
              <w:pStyle w:val="TableText"/>
            </w:pPr>
            <w:r>
              <w:t>Letter of Authority</w:t>
            </w:r>
          </w:p>
        </w:tc>
      </w:tr>
      <w:tr w:rsidR="005841D0" w:rsidRPr="001B1649" w14:paraId="50DF4C7F" w14:textId="77777777" w:rsidTr="00E82243">
        <w:tc>
          <w:tcPr>
            <w:tcW w:w="1232" w:type="dxa"/>
            <w:vAlign w:val="center"/>
          </w:tcPr>
          <w:p w14:paraId="44B66265" w14:textId="77777777" w:rsidR="005841D0" w:rsidRDefault="005841D0" w:rsidP="00BC2E54">
            <w:pPr>
              <w:pStyle w:val="TableText"/>
            </w:pPr>
            <w:r>
              <w:t>MNO</w:t>
            </w:r>
          </w:p>
        </w:tc>
        <w:tc>
          <w:tcPr>
            <w:tcW w:w="7784" w:type="dxa"/>
            <w:vAlign w:val="center"/>
          </w:tcPr>
          <w:p w14:paraId="23E986A6" w14:textId="77777777" w:rsidR="005841D0" w:rsidRDefault="005841D0" w:rsidP="00BC2E54">
            <w:pPr>
              <w:pStyle w:val="TableText"/>
            </w:pPr>
            <w:r>
              <w:t>Mobile Network Operator</w:t>
            </w:r>
          </w:p>
        </w:tc>
      </w:tr>
      <w:tr w:rsidR="005841D0" w:rsidRPr="001B1649" w14:paraId="45669181" w14:textId="77777777" w:rsidTr="00E82243">
        <w:tc>
          <w:tcPr>
            <w:tcW w:w="1232" w:type="dxa"/>
            <w:vAlign w:val="center"/>
          </w:tcPr>
          <w:p w14:paraId="218674D6" w14:textId="77777777" w:rsidR="005841D0" w:rsidRDefault="005841D0" w:rsidP="00BC2E54">
            <w:pPr>
              <w:pStyle w:val="TableText"/>
            </w:pPr>
            <w:r>
              <w:t>MVNO</w:t>
            </w:r>
          </w:p>
        </w:tc>
        <w:tc>
          <w:tcPr>
            <w:tcW w:w="7784" w:type="dxa"/>
            <w:vAlign w:val="center"/>
          </w:tcPr>
          <w:p w14:paraId="3E3D0145" w14:textId="77777777" w:rsidR="005841D0" w:rsidRDefault="005841D0" w:rsidP="00BC2E54">
            <w:pPr>
              <w:pStyle w:val="TableText"/>
            </w:pPr>
            <w:r>
              <w:t>Mobile Virtual Network Operator</w:t>
            </w:r>
          </w:p>
        </w:tc>
      </w:tr>
      <w:tr w:rsidR="005841D0" w:rsidRPr="001B1649" w14:paraId="44924ADD" w14:textId="77777777" w:rsidTr="00E82243">
        <w:tc>
          <w:tcPr>
            <w:tcW w:w="1232" w:type="dxa"/>
            <w:vAlign w:val="center"/>
          </w:tcPr>
          <w:p w14:paraId="0AE8C8C0" w14:textId="77777777" w:rsidR="005841D0" w:rsidRDefault="005841D0" w:rsidP="00BC2E54">
            <w:pPr>
              <w:pStyle w:val="TableText"/>
            </w:pPr>
            <w:r>
              <w:t>(S)PC</w:t>
            </w:r>
          </w:p>
        </w:tc>
        <w:tc>
          <w:tcPr>
            <w:tcW w:w="7784" w:type="dxa"/>
            <w:vAlign w:val="center"/>
          </w:tcPr>
          <w:p w14:paraId="1F6A1AC9" w14:textId="77777777" w:rsidR="005841D0" w:rsidRDefault="005841D0" w:rsidP="00BC2E54">
            <w:pPr>
              <w:pStyle w:val="TableText"/>
            </w:pPr>
            <w:r>
              <w:t>(Signalling) Point Code</w:t>
            </w:r>
          </w:p>
        </w:tc>
      </w:tr>
      <w:tr w:rsidR="005841D0" w:rsidRPr="001B1649" w14:paraId="738F6B50" w14:textId="77777777" w:rsidTr="00E82243">
        <w:tc>
          <w:tcPr>
            <w:tcW w:w="1232" w:type="dxa"/>
            <w:vAlign w:val="center"/>
          </w:tcPr>
          <w:p w14:paraId="3B4EE2D1" w14:textId="77777777" w:rsidR="005841D0" w:rsidRDefault="005841D0" w:rsidP="00BC2E54">
            <w:pPr>
              <w:pStyle w:val="TableText"/>
            </w:pPr>
            <w:r>
              <w:lastRenderedPageBreak/>
              <w:t>RAEX</w:t>
            </w:r>
          </w:p>
        </w:tc>
        <w:tc>
          <w:tcPr>
            <w:tcW w:w="7784" w:type="dxa"/>
            <w:vAlign w:val="center"/>
          </w:tcPr>
          <w:p w14:paraId="5C60404B" w14:textId="77777777" w:rsidR="005841D0" w:rsidRDefault="005841D0" w:rsidP="00BC2E54">
            <w:pPr>
              <w:pStyle w:val="TableText"/>
            </w:pPr>
            <w:r>
              <w:t>Roaming Agreement Exchange</w:t>
            </w:r>
          </w:p>
        </w:tc>
      </w:tr>
      <w:tr w:rsidR="005841D0" w:rsidRPr="001B1649" w14:paraId="5DA1B5C6" w14:textId="77777777" w:rsidTr="00E82243">
        <w:tc>
          <w:tcPr>
            <w:tcW w:w="1232" w:type="dxa"/>
            <w:vAlign w:val="center"/>
          </w:tcPr>
          <w:p w14:paraId="6014D5BF" w14:textId="77777777" w:rsidR="005841D0" w:rsidRDefault="005841D0" w:rsidP="00BC2E54">
            <w:pPr>
              <w:pStyle w:val="TableText"/>
            </w:pPr>
            <w:r>
              <w:t>SCCP</w:t>
            </w:r>
          </w:p>
        </w:tc>
        <w:tc>
          <w:tcPr>
            <w:tcW w:w="7784" w:type="dxa"/>
            <w:vAlign w:val="center"/>
          </w:tcPr>
          <w:p w14:paraId="1A58D9A1" w14:textId="77777777" w:rsidR="005841D0" w:rsidRDefault="005841D0" w:rsidP="00BC2E54">
            <w:pPr>
              <w:pStyle w:val="TableText"/>
            </w:pPr>
            <w:r>
              <w:t>Signalling Connection Control Part</w:t>
            </w:r>
          </w:p>
        </w:tc>
      </w:tr>
      <w:tr w:rsidR="005841D0" w:rsidRPr="001B1649" w14:paraId="01E5131A" w14:textId="77777777" w:rsidTr="00E82243">
        <w:tc>
          <w:tcPr>
            <w:tcW w:w="1232" w:type="dxa"/>
            <w:vAlign w:val="center"/>
          </w:tcPr>
          <w:p w14:paraId="1FC7674A" w14:textId="77777777" w:rsidR="005841D0" w:rsidRDefault="005841D0" w:rsidP="00BC2E54">
            <w:pPr>
              <w:pStyle w:val="TableText"/>
            </w:pPr>
            <w:r>
              <w:t>SS7</w:t>
            </w:r>
          </w:p>
        </w:tc>
        <w:tc>
          <w:tcPr>
            <w:tcW w:w="7784" w:type="dxa"/>
            <w:vAlign w:val="center"/>
          </w:tcPr>
          <w:p w14:paraId="3FD24D1C" w14:textId="77777777" w:rsidR="005841D0" w:rsidRDefault="005841D0" w:rsidP="00BC2E54">
            <w:pPr>
              <w:pStyle w:val="TableText"/>
            </w:pPr>
            <w:r>
              <w:t>Signalling System No. 7</w:t>
            </w:r>
          </w:p>
        </w:tc>
      </w:tr>
      <w:tr w:rsidR="005841D0" w:rsidRPr="001B1649" w14:paraId="7D14A9C7" w14:textId="77777777" w:rsidTr="00E82243">
        <w:tc>
          <w:tcPr>
            <w:tcW w:w="1232" w:type="dxa"/>
            <w:vAlign w:val="center"/>
          </w:tcPr>
          <w:p w14:paraId="4C1A7D73" w14:textId="77777777" w:rsidR="005841D0" w:rsidRDefault="005841D0" w:rsidP="00BC2E54">
            <w:pPr>
              <w:pStyle w:val="TableText"/>
            </w:pPr>
            <w:r>
              <w:t>NRA</w:t>
            </w:r>
          </w:p>
        </w:tc>
        <w:tc>
          <w:tcPr>
            <w:tcW w:w="7784" w:type="dxa"/>
            <w:vAlign w:val="center"/>
          </w:tcPr>
          <w:p w14:paraId="2F4B76AD" w14:textId="77777777" w:rsidR="005841D0" w:rsidRDefault="005841D0" w:rsidP="00BC2E54">
            <w:pPr>
              <w:pStyle w:val="TableText"/>
            </w:pPr>
            <w:r>
              <w:t>National Regulatory Authority</w:t>
            </w:r>
          </w:p>
        </w:tc>
      </w:tr>
      <w:tr w:rsidR="005841D0" w:rsidRPr="001B1649" w14:paraId="45990091" w14:textId="77777777" w:rsidTr="00E82243">
        <w:tc>
          <w:tcPr>
            <w:tcW w:w="1232" w:type="dxa"/>
            <w:vAlign w:val="center"/>
          </w:tcPr>
          <w:p w14:paraId="1CC23CD1" w14:textId="77777777" w:rsidR="005841D0" w:rsidRPr="00C6177A" w:rsidRDefault="005841D0" w:rsidP="00BC2E54">
            <w:pPr>
              <w:pStyle w:val="TableText"/>
            </w:pPr>
            <w:r w:rsidRPr="00C6177A">
              <w:t>PRD</w:t>
            </w:r>
          </w:p>
        </w:tc>
        <w:tc>
          <w:tcPr>
            <w:tcW w:w="7784" w:type="dxa"/>
            <w:vAlign w:val="center"/>
          </w:tcPr>
          <w:p w14:paraId="62A3EBC6" w14:textId="77777777" w:rsidR="005841D0" w:rsidRPr="00C6177A" w:rsidRDefault="005841D0" w:rsidP="00BC2E54">
            <w:pPr>
              <w:pStyle w:val="TableText"/>
            </w:pPr>
            <w:r w:rsidRPr="00C6177A">
              <w:t>Permanent Reference Document</w:t>
            </w:r>
          </w:p>
        </w:tc>
      </w:tr>
    </w:tbl>
    <w:p w14:paraId="19B79B43" w14:textId="77777777" w:rsidR="005841D0" w:rsidRPr="001B1649" w:rsidRDefault="005841D0" w:rsidP="005841D0">
      <w:pPr>
        <w:pStyle w:val="Heading2"/>
      </w:pPr>
      <w:bookmarkStart w:id="21" w:name="_Toc327447332"/>
      <w:bookmarkStart w:id="22" w:name="_Toc327547999"/>
      <w:bookmarkStart w:id="23" w:name="_Toc327548199"/>
      <w:bookmarkStart w:id="24" w:name="_Toc85405220"/>
      <w:bookmarkStart w:id="25" w:name="_Toc216786438"/>
      <w:r w:rsidRPr="001B1649">
        <w:t>References</w:t>
      </w:r>
      <w:bookmarkEnd w:id="21"/>
      <w:bookmarkEnd w:id="22"/>
      <w:bookmarkEnd w:id="23"/>
      <w:bookmarkEnd w:id="24"/>
      <w:bookmarkEnd w:id="25"/>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20"/>
        <w:gridCol w:w="6392"/>
      </w:tblGrid>
      <w:tr w:rsidR="005841D0" w:rsidRPr="00427F8A" w14:paraId="030161AD" w14:textId="77777777" w:rsidTr="00BC2E54">
        <w:trPr>
          <w:cantSplit/>
          <w:tblHeader/>
        </w:trPr>
        <w:tc>
          <w:tcPr>
            <w:tcW w:w="709" w:type="dxa"/>
            <w:shd w:val="clear" w:color="auto" w:fill="DE002B"/>
            <w:vAlign w:val="bottom"/>
          </w:tcPr>
          <w:p w14:paraId="33CC11FD" w14:textId="77777777" w:rsidR="005841D0" w:rsidRPr="00427F8A" w:rsidRDefault="005841D0" w:rsidP="00BC2E54">
            <w:pPr>
              <w:pStyle w:val="TableHeader"/>
            </w:pPr>
            <w:r w:rsidRPr="00427F8A">
              <w:t>Ref</w:t>
            </w:r>
          </w:p>
        </w:tc>
        <w:tc>
          <w:tcPr>
            <w:tcW w:w="1920" w:type="dxa"/>
            <w:shd w:val="clear" w:color="auto" w:fill="DE002B"/>
            <w:vAlign w:val="bottom"/>
          </w:tcPr>
          <w:p w14:paraId="36DAD6AD" w14:textId="77777777" w:rsidR="005841D0" w:rsidRPr="00427F8A" w:rsidRDefault="005841D0" w:rsidP="00BC2E54">
            <w:pPr>
              <w:pStyle w:val="TableHeader"/>
            </w:pPr>
            <w:r w:rsidRPr="00F14715">
              <w:t>Doc</w:t>
            </w:r>
            <w:r>
              <w:t xml:space="preserve"> </w:t>
            </w:r>
            <w:r w:rsidRPr="00427F8A">
              <w:t>Number</w:t>
            </w:r>
          </w:p>
        </w:tc>
        <w:tc>
          <w:tcPr>
            <w:tcW w:w="6392" w:type="dxa"/>
            <w:shd w:val="clear" w:color="auto" w:fill="DE002B"/>
            <w:vAlign w:val="bottom"/>
          </w:tcPr>
          <w:p w14:paraId="046A746E" w14:textId="77777777" w:rsidR="005841D0" w:rsidRPr="00F14715" w:rsidRDefault="005841D0" w:rsidP="00BC2E54">
            <w:pPr>
              <w:pStyle w:val="TableHeader"/>
            </w:pPr>
            <w:r w:rsidRPr="00427F8A">
              <w:t>Title</w:t>
            </w:r>
          </w:p>
        </w:tc>
      </w:tr>
      <w:tr w:rsidR="005841D0" w:rsidRPr="00427F8A" w14:paraId="31CDCD9E" w14:textId="77777777" w:rsidTr="00BC2E54">
        <w:tc>
          <w:tcPr>
            <w:tcW w:w="709" w:type="dxa"/>
            <w:vAlign w:val="center"/>
          </w:tcPr>
          <w:p w14:paraId="670CE8C9" w14:textId="77777777" w:rsidR="005841D0" w:rsidRPr="00C6177A" w:rsidRDefault="005841D0" w:rsidP="00BC2E54">
            <w:pPr>
              <w:pStyle w:val="TableReferencenumber"/>
            </w:pPr>
            <w:bookmarkStart w:id="26" w:name="_Ref325119390"/>
          </w:p>
        </w:tc>
        <w:bookmarkEnd w:id="26"/>
        <w:tc>
          <w:tcPr>
            <w:tcW w:w="1920" w:type="dxa"/>
            <w:vAlign w:val="center"/>
          </w:tcPr>
          <w:p w14:paraId="754B5709" w14:textId="77777777" w:rsidR="005841D0" w:rsidRPr="00C6177A" w:rsidRDefault="005841D0" w:rsidP="00BC2E54">
            <w:pPr>
              <w:pStyle w:val="TableText"/>
            </w:pPr>
            <w:r w:rsidRPr="00E35D5C">
              <w:t>ITU-T E.164</w:t>
            </w:r>
          </w:p>
        </w:tc>
        <w:tc>
          <w:tcPr>
            <w:tcW w:w="6392" w:type="dxa"/>
            <w:vAlign w:val="center"/>
          </w:tcPr>
          <w:p w14:paraId="6656FA50" w14:textId="77777777" w:rsidR="005841D0" w:rsidRPr="00C6177A" w:rsidRDefault="005841D0" w:rsidP="00BC2E54">
            <w:pPr>
              <w:pStyle w:val="TableText"/>
            </w:pPr>
            <w:r w:rsidRPr="00E35D5C">
              <w:t xml:space="preserve">Recommendation ITU-T E.164 (2010), </w:t>
            </w:r>
            <w:r w:rsidRPr="00E35D5C">
              <w:rPr>
                <w:i/>
                <w:iCs/>
              </w:rPr>
              <w:t>The international public telecommunication numbering plan.</w:t>
            </w:r>
          </w:p>
        </w:tc>
      </w:tr>
      <w:tr w:rsidR="005841D0" w:rsidRPr="00427F8A" w14:paraId="706C5F18" w14:textId="77777777" w:rsidTr="00BC2E54">
        <w:tc>
          <w:tcPr>
            <w:tcW w:w="709" w:type="dxa"/>
            <w:vAlign w:val="center"/>
          </w:tcPr>
          <w:p w14:paraId="3F55F838" w14:textId="77777777" w:rsidR="005841D0" w:rsidRPr="00C6177A" w:rsidRDefault="005841D0" w:rsidP="00BC2E54">
            <w:pPr>
              <w:pStyle w:val="TableReferencenumber"/>
            </w:pPr>
            <w:bookmarkStart w:id="27" w:name="_Ref88570160"/>
          </w:p>
        </w:tc>
        <w:bookmarkEnd w:id="27"/>
        <w:tc>
          <w:tcPr>
            <w:tcW w:w="1920" w:type="dxa"/>
            <w:vAlign w:val="center"/>
          </w:tcPr>
          <w:p w14:paraId="602063AB" w14:textId="77777777" w:rsidR="005841D0" w:rsidRPr="00E35D5C" w:rsidRDefault="005841D0" w:rsidP="00BC2E54">
            <w:pPr>
              <w:pStyle w:val="TableText"/>
            </w:pPr>
            <w:r w:rsidRPr="00C6177A">
              <w:t>RFC 2119</w:t>
            </w:r>
          </w:p>
        </w:tc>
        <w:tc>
          <w:tcPr>
            <w:tcW w:w="6392" w:type="dxa"/>
            <w:vAlign w:val="center"/>
          </w:tcPr>
          <w:p w14:paraId="559C8377" w14:textId="77777777" w:rsidR="005841D0" w:rsidRPr="00E35D5C" w:rsidRDefault="005841D0" w:rsidP="00BC2E54">
            <w:pPr>
              <w:pStyle w:val="TableText"/>
            </w:pPr>
            <w:r w:rsidRPr="00C6177A">
              <w:t xml:space="preserve">“Key words for use in RFCs to Indicate Requirement Levels”, S. Bradner, March 1997. Available at </w:t>
            </w:r>
            <w:hyperlink r:id="rId15" w:history="1">
              <w:r w:rsidRPr="00427F8A">
                <w:rPr>
                  <w:rStyle w:val="Hyperlink"/>
                  <w:color w:val="auto"/>
                  <w:u w:val="none"/>
                </w:rPr>
                <w:t>http://www.ietf.org/rfc/rfc2119.txt</w:t>
              </w:r>
            </w:hyperlink>
            <w:r>
              <w:rPr>
                <w:rStyle w:val="Hyperlink"/>
                <w:color w:val="auto"/>
                <w:u w:val="none"/>
              </w:rPr>
              <w:t xml:space="preserve"> </w:t>
            </w:r>
            <w:r w:rsidRPr="00C6177A">
              <w:t xml:space="preserve"> </w:t>
            </w:r>
            <w:r>
              <w:t xml:space="preserve"> </w:t>
            </w:r>
          </w:p>
        </w:tc>
      </w:tr>
      <w:tr w:rsidR="005841D0" w:rsidRPr="00427F8A" w14:paraId="1CB5566C" w14:textId="77777777" w:rsidTr="00BC2E54">
        <w:tc>
          <w:tcPr>
            <w:tcW w:w="709" w:type="dxa"/>
            <w:vAlign w:val="center"/>
          </w:tcPr>
          <w:p w14:paraId="08890705" w14:textId="77777777" w:rsidR="005841D0" w:rsidRPr="00C6177A" w:rsidRDefault="005841D0" w:rsidP="00BC2E54">
            <w:pPr>
              <w:pStyle w:val="TableReferencenumber"/>
            </w:pPr>
            <w:bookmarkStart w:id="28" w:name="_Ref88570162"/>
          </w:p>
        </w:tc>
        <w:bookmarkEnd w:id="28"/>
        <w:tc>
          <w:tcPr>
            <w:tcW w:w="1920" w:type="dxa"/>
            <w:vAlign w:val="center"/>
          </w:tcPr>
          <w:p w14:paraId="0BDF027E" w14:textId="77777777" w:rsidR="005841D0" w:rsidRPr="00E35D5C" w:rsidRDefault="005841D0" w:rsidP="00BC2E54">
            <w:pPr>
              <w:pStyle w:val="TableText"/>
            </w:pPr>
            <w:r w:rsidRPr="00465A80">
              <w:t>RFC</w:t>
            </w:r>
            <w:r>
              <w:t xml:space="preserve"> </w:t>
            </w:r>
            <w:r w:rsidRPr="00465A80">
              <w:t>8174</w:t>
            </w:r>
          </w:p>
        </w:tc>
        <w:tc>
          <w:tcPr>
            <w:tcW w:w="6392" w:type="dxa"/>
            <w:vAlign w:val="center"/>
          </w:tcPr>
          <w:p w14:paraId="056F4DAE" w14:textId="77777777" w:rsidR="005841D0" w:rsidRPr="00465A80" w:rsidRDefault="005841D0" w:rsidP="00BC2E54">
            <w:pPr>
              <w:pStyle w:val="TableText"/>
            </w:pPr>
            <w:r w:rsidRPr="00465A80">
              <w:t>Ambiguity of Uppercase vs Lowercase in RFC 2119 Key Words</w:t>
            </w:r>
          </w:p>
          <w:p w14:paraId="1A03BEA4" w14:textId="77777777" w:rsidR="005841D0" w:rsidRPr="00E35D5C" w:rsidRDefault="005841D0" w:rsidP="00BC2E54">
            <w:pPr>
              <w:pStyle w:val="TableText"/>
            </w:pPr>
            <w:hyperlink r:id="rId16" w:history="1">
              <w:r w:rsidRPr="00465A80">
                <w:rPr>
                  <w:rStyle w:val="Hyperlink"/>
                  <w:color w:val="auto"/>
                  <w:u w:val="none"/>
                </w:rPr>
                <w:t>https://www.rfc-editor.org/info/rfc8174</w:t>
              </w:r>
            </w:hyperlink>
          </w:p>
        </w:tc>
      </w:tr>
      <w:tr w:rsidR="005841D0" w:rsidRPr="00427F8A" w14:paraId="37A7C1FF" w14:textId="77777777" w:rsidTr="00BC2E54">
        <w:tc>
          <w:tcPr>
            <w:tcW w:w="709" w:type="dxa"/>
            <w:vAlign w:val="center"/>
          </w:tcPr>
          <w:p w14:paraId="73C13397" w14:textId="77777777" w:rsidR="005841D0" w:rsidRPr="00C6177A" w:rsidRDefault="005841D0" w:rsidP="00BC2E54">
            <w:pPr>
              <w:pStyle w:val="TableReferencenumber"/>
            </w:pPr>
            <w:bookmarkStart w:id="29" w:name="_Ref93577901"/>
          </w:p>
        </w:tc>
        <w:bookmarkEnd w:id="29"/>
        <w:tc>
          <w:tcPr>
            <w:tcW w:w="1920" w:type="dxa"/>
            <w:vAlign w:val="center"/>
          </w:tcPr>
          <w:p w14:paraId="55E51733" w14:textId="77777777" w:rsidR="005841D0" w:rsidRPr="00C6177A" w:rsidRDefault="005841D0" w:rsidP="00BC2E54">
            <w:pPr>
              <w:pStyle w:val="TableText"/>
            </w:pPr>
            <w:r>
              <w:t>GSMA PRD BA.20</w:t>
            </w:r>
          </w:p>
        </w:tc>
        <w:tc>
          <w:tcPr>
            <w:tcW w:w="6392" w:type="dxa"/>
            <w:vAlign w:val="center"/>
          </w:tcPr>
          <w:p w14:paraId="50B7D65E" w14:textId="77777777" w:rsidR="005841D0" w:rsidRPr="00C6177A" w:rsidRDefault="005841D0" w:rsidP="00BC2E54">
            <w:pPr>
              <w:pStyle w:val="TableText"/>
            </w:pPr>
            <w:r w:rsidRPr="00D96ADE">
              <w:t>Fraud Prevention Procedures</w:t>
            </w:r>
          </w:p>
        </w:tc>
      </w:tr>
      <w:tr w:rsidR="005841D0" w:rsidRPr="00427F8A" w14:paraId="671AC4C5" w14:textId="77777777" w:rsidTr="00BC2E54">
        <w:tc>
          <w:tcPr>
            <w:tcW w:w="709" w:type="dxa"/>
            <w:vAlign w:val="center"/>
          </w:tcPr>
          <w:p w14:paraId="39CA120D" w14:textId="77777777" w:rsidR="005841D0" w:rsidRPr="00C6177A" w:rsidRDefault="005841D0" w:rsidP="00BC2E54">
            <w:pPr>
              <w:pStyle w:val="TableReferencenumber"/>
            </w:pPr>
            <w:bookmarkStart w:id="30" w:name="_Ref117508896"/>
          </w:p>
        </w:tc>
        <w:bookmarkEnd w:id="30"/>
        <w:tc>
          <w:tcPr>
            <w:tcW w:w="1920" w:type="dxa"/>
            <w:vAlign w:val="center"/>
          </w:tcPr>
          <w:p w14:paraId="18236254" w14:textId="77777777" w:rsidR="005841D0" w:rsidRPr="00C6177A" w:rsidRDefault="005841D0" w:rsidP="00BC2E54">
            <w:pPr>
              <w:pStyle w:val="TableText"/>
            </w:pPr>
            <w:r>
              <w:t>GSMA PRD FS.11</w:t>
            </w:r>
          </w:p>
        </w:tc>
        <w:tc>
          <w:tcPr>
            <w:tcW w:w="6392" w:type="dxa"/>
            <w:vAlign w:val="center"/>
          </w:tcPr>
          <w:p w14:paraId="207FEFAF" w14:textId="77777777" w:rsidR="005841D0" w:rsidRPr="00C6177A" w:rsidRDefault="005841D0" w:rsidP="00BC2E54">
            <w:pPr>
              <w:pStyle w:val="TableText"/>
            </w:pPr>
            <w:r>
              <w:t>SS7 Interconnect Security Monitoring and Firewall Guidelines</w:t>
            </w:r>
          </w:p>
        </w:tc>
      </w:tr>
      <w:tr w:rsidR="005841D0" w:rsidRPr="00427F8A" w14:paraId="7225548E" w14:textId="77777777" w:rsidTr="00BC2E54">
        <w:tc>
          <w:tcPr>
            <w:tcW w:w="709" w:type="dxa"/>
            <w:vAlign w:val="center"/>
          </w:tcPr>
          <w:p w14:paraId="08FB9C40" w14:textId="77777777" w:rsidR="005841D0" w:rsidRPr="00C6177A" w:rsidRDefault="005841D0" w:rsidP="00BC2E54">
            <w:pPr>
              <w:pStyle w:val="TableReferencenumber"/>
            </w:pPr>
          </w:p>
        </w:tc>
        <w:tc>
          <w:tcPr>
            <w:tcW w:w="1920" w:type="dxa"/>
            <w:vAlign w:val="center"/>
          </w:tcPr>
          <w:p w14:paraId="37A5FF32" w14:textId="77777777" w:rsidR="005841D0" w:rsidRPr="00C6177A" w:rsidRDefault="005841D0" w:rsidP="00BC2E54">
            <w:pPr>
              <w:pStyle w:val="TableText"/>
            </w:pPr>
            <w:r>
              <w:t>GSMA PRD IR.21</w:t>
            </w:r>
          </w:p>
        </w:tc>
        <w:tc>
          <w:tcPr>
            <w:tcW w:w="6392" w:type="dxa"/>
            <w:vAlign w:val="center"/>
          </w:tcPr>
          <w:p w14:paraId="763BE0A0" w14:textId="77777777" w:rsidR="005841D0" w:rsidRPr="00C6177A" w:rsidRDefault="005841D0" w:rsidP="00BC2E54">
            <w:pPr>
              <w:pStyle w:val="TableText"/>
            </w:pPr>
            <w:r w:rsidRPr="003C667C">
              <w:t>GSM Association Roaming Database, Structure and Updating Procedures</w:t>
            </w:r>
          </w:p>
        </w:tc>
      </w:tr>
      <w:tr w:rsidR="005841D0" w:rsidRPr="00427F8A" w14:paraId="23291C29" w14:textId="77777777" w:rsidTr="00BC2E54">
        <w:tc>
          <w:tcPr>
            <w:tcW w:w="709" w:type="dxa"/>
            <w:vAlign w:val="center"/>
          </w:tcPr>
          <w:p w14:paraId="1D29C44C" w14:textId="77777777" w:rsidR="005841D0" w:rsidRPr="00C6177A" w:rsidRDefault="005841D0" w:rsidP="00BC2E54">
            <w:pPr>
              <w:pStyle w:val="TableReferencenumber"/>
            </w:pPr>
          </w:p>
        </w:tc>
        <w:tc>
          <w:tcPr>
            <w:tcW w:w="1920" w:type="dxa"/>
            <w:vAlign w:val="center"/>
          </w:tcPr>
          <w:p w14:paraId="665C630F" w14:textId="77777777" w:rsidR="005841D0" w:rsidRDefault="005841D0" w:rsidP="00BC2E54">
            <w:pPr>
              <w:pStyle w:val="TableText"/>
            </w:pPr>
            <w:r>
              <w:t>GSMA PRD IR.77</w:t>
            </w:r>
          </w:p>
        </w:tc>
        <w:tc>
          <w:tcPr>
            <w:tcW w:w="6392" w:type="dxa"/>
            <w:vAlign w:val="center"/>
          </w:tcPr>
          <w:p w14:paraId="01513349" w14:textId="77777777" w:rsidR="005841D0" w:rsidRPr="00C6177A" w:rsidRDefault="005841D0" w:rsidP="00BC2E54">
            <w:pPr>
              <w:pStyle w:val="TableText"/>
            </w:pPr>
            <w:hyperlink r:id="rId17" w:history="1">
              <w:proofErr w:type="spellStart"/>
              <w:r w:rsidRPr="003C667C">
                <w:t>InterOperator</w:t>
              </w:r>
              <w:proofErr w:type="spellEnd"/>
              <w:r w:rsidRPr="003C667C">
                <w:t xml:space="preserve"> IP Backbone Security Req. For Service and Inter-operator IP backbone Providers</w:t>
              </w:r>
            </w:hyperlink>
          </w:p>
        </w:tc>
      </w:tr>
      <w:tr w:rsidR="005841D0" w:rsidRPr="00427F8A" w14:paraId="2B733CD8" w14:textId="77777777" w:rsidTr="00BC2E54">
        <w:tc>
          <w:tcPr>
            <w:tcW w:w="709" w:type="dxa"/>
            <w:vAlign w:val="center"/>
          </w:tcPr>
          <w:p w14:paraId="7B2A23EA" w14:textId="77777777" w:rsidR="005841D0" w:rsidRPr="00C6177A" w:rsidRDefault="005841D0" w:rsidP="00BC2E54">
            <w:pPr>
              <w:pStyle w:val="TableReferencenumber"/>
            </w:pPr>
            <w:bookmarkStart w:id="31" w:name="_Ref134614266"/>
          </w:p>
        </w:tc>
        <w:bookmarkEnd w:id="31"/>
        <w:tc>
          <w:tcPr>
            <w:tcW w:w="1920" w:type="dxa"/>
            <w:vAlign w:val="center"/>
          </w:tcPr>
          <w:p w14:paraId="1AB0B73E" w14:textId="77777777" w:rsidR="005841D0" w:rsidRDefault="005841D0" w:rsidP="00BC2E54">
            <w:pPr>
              <w:pStyle w:val="TableText"/>
            </w:pPr>
            <w:r>
              <w:t>GSMA PRD BA.21</w:t>
            </w:r>
          </w:p>
        </w:tc>
        <w:tc>
          <w:tcPr>
            <w:tcW w:w="6392" w:type="dxa"/>
            <w:vAlign w:val="center"/>
          </w:tcPr>
          <w:p w14:paraId="08727EB3" w14:textId="77777777" w:rsidR="005841D0" w:rsidRDefault="005841D0" w:rsidP="00BC2E54">
            <w:pPr>
              <w:pStyle w:val="TableText"/>
            </w:pPr>
            <w:r>
              <w:t>Network Extension Principles</w:t>
            </w:r>
          </w:p>
        </w:tc>
      </w:tr>
      <w:tr w:rsidR="005841D0" w:rsidRPr="00427F8A" w14:paraId="7C8DD6E4" w14:textId="77777777" w:rsidTr="00BC2E54">
        <w:tc>
          <w:tcPr>
            <w:tcW w:w="709" w:type="dxa"/>
            <w:vAlign w:val="center"/>
          </w:tcPr>
          <w:p w14:paraId="7EF1FD90" w14:textId="77777777" w:rsidR="005841D0" w:rsidRPr="00C6177A" w:rsidRDefault="005841D0" w:rsidP="00BC2E54">
            <w:pPr>
              <w:pStyle w:val="TableReferencenumber"/>
            </w:pPr>
            <w:bookmarkStart w:id="32" w:name="_Ref117263423"/>
          </w:p>
        </w:tc>
        <w:bookmarkEnd w:id="32"/>
        <w:tc>
          <w:tcPr>
            <w:tcW w:w="1920" w:type="dxa"/>
            <w:vAlign w:val="center"/>
          </w:tcPr>
          <w:p w14:paraId="24996803" w14:textId="77777777" w:rsidR="005841D0" w:rsidRPr="0089039B" w:rsidRDefault="005841D0" w:rsidP="00BC2E54">
            <w:pPr>
              <w:pStyle w:val="TableText"/>
            </w:pPr>
            <w:r>
              <w:t xml:space="preserve">GSMA PRD </w:t>
            </w:r>
            <w:r w:rsidRPr="0089039B">
              <w:t>BA.23</w:t>
            </w:r>
          </w:p>
        </w:tc>
        <w:tc>
          <w:tcPr>
            <w:tcW w:w="6392" w:type="dxa"/>
            <w:vAlign w:val="center"/>
          </w:tcPr>
          <w:p w14:paraId="2C3807BE" w14:textId="77777777" w:rsidR="005841D0" w:rsidRPr="0089039B" w:rsidRDefault="005841D0" w:rsidP="00BC2E54">
            <w:pPr>
              <w:pStyle w:val="TableText"/>
            </w:pPr>
            <w:r w:rsidRPr="0089039B">
              <w:t>Outbound Roaming Solutions Handbook</w:t>
            </w:r>
          </w:p>
        </w:tc>
      </w:tr>
      <w:tr w:rsidR="00E97AFD" w:rsidRPr="00427F8A" w14:paraId="05106292" w14:textId="77777777" w:rsidTr="00BC2E54">
        <w:tc>
          <w:tcPr>
            <w:tcW w:w="709" w:type="dxa"/>
            <w:vAlign w:val="center"/>
          </w:tcPr>
          <w:p w14:paraId="7B485EDB" w14:textId="77777777" w:rsidR="00E97AFD" w:rsidRPr="00C6177A" w:rsidRDefault="00E97AFD" w:rsidP="00E97AFD">
            <w:pPr>
              <w:pStyle w:val="TableReferencenumber"/>
            </w:pPr>
          </w:p>
        </w:tc>
        <w:tc>
          <w:tcPr>
            <w:tcW w:w="1920" w:type="dxa"/>
            <w:vAlign w:val="center"/>
          </w:tcPr>
          <w:p w14:paraId="226BF06C" w14:textId="7AC64323" w:rsidR="00E97AFD" w:rsidRDefault="00E97AFD" w:rsidP="00E97AFD">
            <w:pPr>
              <w:pStyle w:val="TableText"/>
            </w:pPr>
            <w:r w:rsidRPr="001F7595">
              <w:t>GSMA PRD FS.19</w:t>
            </w:r>
          </w:p>
        </w:tc>
        <w:tc>
          <w:tcPr>
            <w:tcW w:w="6392" w:type="dxa"/>
            <w:vAlign w:val="center"/>
          </w:tcPr>
          <w:p w14:paraId="21F31243" w14:textId="230A9565" w:rsidR="00E97AFD" w:rsidRPr="0089039B" w:rsidRDefault="00E97AFD" w:rsidP="00E97AFD">
            <w:pPr>
              <w:pStyle w:val="TableText"/>
            </w:pPr>
            <w:r w:rsidRPr="001F7595">
              <w:t>Diameter Interconnect Security</w:t>
            </w:r>
          </w:p>
        </w:tc>
      </w:tr>
    </w:tbl>
    <w:p w14:paraId="6879E4FB" w14:textId="77777777" w:rsidR="005841D0" w:rsidRDefault="005841D0" w:rsidP="005841D0">
      <w:pPr>
        <w:pStyle w:val="Heading2"/>
      </w:pPr>
      <w:bookmarkStart w:id="33" w:name="_Toc216786439"/>
      <w:bookmarkStart w:id="34" w:name="_Toc85405221"/>
      <w:bookmarkEnd w:id="1"/>
      <w:r>
        <w:t>Conventions</w:t>
      </w:r>
      <w:bookmarkEnd w:id="33"/>
    </w:p>
    <w:p w14:paraId="275270A3" w14:textId="77777777" w:rsidR="005841D0" w:rsidRPr="00326698" w:rsidRDefault="005841D0" w:rsidP="005841D0">
      <w:pPr>
        <w:pStyle w:val="NormalParagraph"/>
        <w:rPr>
          <w:lang w:eastAsia="en-US" w:bidi="bn-BD"/>
        </w:rPr>
      </w:pPr>
      <w:r w:rsidRPr="00465A80">
        <w:t>The key words “MUST”, “MUST NOT”, “REQUIRED”, “SHALL”, “SHALL NOT”, “SHOULD”, “SHOULD NOT”, “RECOMMENDED”, “MAY”, and “OPTIONAL” in this document are to be interpreted as described in RFC 2119</w:t>
      </w:r>
      <w:r>
        <w:t xml:space="preserve"> </w:t>
      </w:r>
      <w:r>
        <w:fldChar w:fldCharType="begin"/>
      </w:r>
      <w:r>
        <w:instrText xml:space="preserve"> REF _Ref88570160 \r \h </w:instrText>
      </w:r>
      <w:r>
        <w:fldChar w:fldCharType="separate"/>
      </w:r>
      <w:r>
        <w:t>[2]</w:t>
      </w:r>
      <w:r>
        <w:fldChar w:fldCharType="end"/>
      </w:r>
      <w:r>
        <w:t xml:space="preserve"> and clarified by</w:t>
      </w:r>
      <w:r w:rsidRPr="00465A80">
        <w:t xml:space="preserve"> RFC8174</w:t>
      </w:r>
      <w:r>
        <w:t xml:space="preserve"> </w:t>
      </w:r>
      <w:r>
        <w:fldChar w:fldCharType="begin"/>
      </w:r>
      <w:r>
        <w:instrText xml:space="preserve"> REF _Ref88570162 \r \h </w:instrText>
      </w:r>
      <w:r>
        <w:fldChar w:fldCharType="separate"/>
      </w:r>
      <w:r>
        <w:t>[3]</w:t>
      </w:r>
      <w:r>
        <w:fldChar w:fldCharType="end"/>
      </w:r>
      <w:r>
        <w:t>,</w:t>
      </w:r>
      <w:r w:rsidRPr="00465A80">
        <w:t xml:space="preserve"> when, and only when, they appear in all capitals, as shown here.</w:t>
      </w:r>
    </w:p>
    <w:p w14:paraId="20B7F5EF" w14:textId="77777777" w:rsidR="005841D0" w:rsidRDefault="005841D0" w:rsidP="005841D0">
      <w:pPr>
        <w:pStyle w:val="Heading1"/>
      </w:pPr>
      <w:bookmarkStart w:id="35" w:name="_Toc216786440"/>
      <w:r>
        <w:t>Global Title Leasing</w:t>
      </w:r>
      <w:bookmarkEnd w:id="34"/>
      <w:bookmarkEnd w:id="35"/>
    </w:p>
    <w:p w14:paraId="4C6287B2" w14:textId="77777777" w:rsidR="005841D0" w:rsidRDefault="005841D0" w:rsidP="005841D0">
      <w:pPr>
        <w:pStyle w:val="Heading2"/>
      </w:pPr>
      <w:bookmarkStart w:id="36" w:name="_Toc85405222"/>
      <w:bookmarkStart w:id="37" w:name="_Toc216786441"/>
      <w:bookmarkStart w:id="38" w:name="_Toc327548005"/>
      <w:bookmarkStart w:id="39" w:name="_Toc327548205"/>
      <w:r>
        <w:t>Introduction to Global Titles</w:t>
      </w:r>
      <w:bookmarkEnd w:id="36"/>
      <w:bookmarkEnd w:id="37"/>
      <w:r>
        <w:t xml:space="preserve"> </w:t>
      </w:r>
    </w:p>
    <w:p w14:paraId="7AFCA881" w14:textId="285EBEB4" w:rsidR="005841D0" w:rsidRDefault="005841D0" w:rsidP="005841D0">
      <w:pPr>
        <w:pStyle w:val="NormalParagraph"/>
        <w:rPr>
          <w:lang w:eastAsia="en-US" w:bidi="bn-BD"/>
        </w:rPr>
      </w:pPr>
      <w:r>
        <w:rPr>
          <w:lang w:eastAsia="en-US" w:bidi="bn-BD"/>
        </w:rPr>
        <w:t xml:space="preserve">In accordance with the recommendations of the International Telecommunications Union </w:t>
      </w:r>
      <w:r>
        <w:rPr>
          <w:lang w:eastAsia="en-US" w:bidi="bn-BD"/>
        </w:rPr>
        <w:fldChar w:fldCharType="begin"/>
      </w:r>
      <w:r>
        <w:rPr>
          <w:lang w:eastAsia="en-US" w:bidi="bn-BD"/>
        </w:rPr>
        <w:instrText xml:space="preserve"> REF _Ref325119390 \r \h  \* MERGEFORMAT </w:instrText>
      </w:r>
      <w:r>
        <w:rPr>
          <w:lang w:eastAsia="en-US" w:bidi="bn-BD"/>
        </w:rPr>
      </w:r>
      <w:r>
        <w:rPr>
          <w:lang w:eastAsia="en-US" w:bidi="bn-BD"/>
        </w:rPr>
        <w:fldChar w:fldCharType="separate"/>
      </w:r>
      <w:r>
        <w:rPr>
          <w:lang w:eastAsia="en-US" w:bidi="bn-BD"/>
        </w:rPr>
        <w:t>[1]</w:t>
      </w:r>
      <w:r>
        <w:rPr>
          <w:lang w:eastAsia="en-US" w:bidi="bn-BD"/>
        </w:rPr>
        <w:fldChar w:fldCharType="end"/>
      </w:r>
      <w:r>
        <w:rPr>
          <w:lang w:eastAsia="en-US" w:bidi="bn-BD"/>
        </w:rPr>
        <w:t xml:space="preserve">, </w:t>
      </w:r>
      <w:r w:rsidRPr="000F770D">
        <w:rPr>
          <w:lang w:eastAsia="en-US" w:bidi="bn-BD"/>
        </w:rPr>
        <w:t xml:space="preserve">national numbering plan administrators </w:t>
      </w:r>
      <w:r>
        <w:rPr>
          <w:lang w:eastAsia="en-US" w:bidi="bn-BD"/>
        </w:rPr>
        <w:t xml:space="preserve">are responsible for administering their national telecommunications numbering plans. As such, number ranges are assigned around the world in accordance with local regulation (note that there are nuances for global services </w:t>
      </w:r>
      <w:r>
        <w:rPr>
          <w:lang w:eastAsia="en-US" w:bidi="bn-BD"/>
        </w:rPr>
        <w:lastRenderedPageBreak/>
        <w:t>and shared country codes that are beyond the scope of this document). In some markets</w:t>
      </w:r>
      <w:r w:rsidR="002506C3">
        <w:rPr>
          <w:lang w:eastAsia="en-US" w:bidi="bn-BD"/>
        </w:rPr>
        <w:t>,</w:t>
      </w:r>
      <w:r>
        <w:rPr>
          <w:lang w:eastAsia="en-US" w:bidi="bn-BD"/>
        </w:rPr>
        <w:t xml:space="preserve"> a strict approach to compliance with the ITU recommendations applies whilst in others there is a lighter touch regulatory regime with less oversight. In all cases, number resources are assigned to number range holders and never “given” to them. This is an important distinction.</w:t>
      </w:r>
    </w:p>
    <w:p w14:paraId="49D94BD5" w14:textId="77777777" w:rsidR="005841D0" w:rsidRDefault="005841D0" w:rsidP="005841D0">
      <w:pPr>
        <w:pStyle w:val="NormalParagraph"/>
        <w:rPr>
          <w:lang w:eastAsia="en-US" w:bidi="bn-BD"/>
        </w:rPr>
      </w:pPr>
      <w:r>
        <w:rPr>
          <w:lang w:eastAsia="en-US" w:bidi="bn-BD"/>
        </w:rPr>
        <w:t>The difference in approach to number range assignment means that in some cases only a licensed MNO may receive mobile numbering resources, whereas in other cases companies that do not offer any type of mobile network service may receive numbering resources. An example of this could be SMS aggregators that transit SMS traffic but do not operate mobile networks.</w:t>
      </w:r>
    </w:p>
    <w:p w14:paraId="303F04AB" w14:textId="77777777" w:rsidR="005841D0" w:rsidRPr="00FF1532" w:rsidRDefault="005841D0" w:rsidP="005841D0">
      <w:pPr>
        <w:pStyle w:val="NormalParagraph"/>
        <w:rPr>
          <w:lang w:eastAsia="en-US" w:bidi="bn-BD"/>
        </w:rPr>
      </w:pPr>
      <w:r>
        <w:rPr>
          <w:lang w:eastAsia="en-US" w:bidi="bn-BD"/>
        </w:rPr>
        <w:t>It is important to re-iterate that numbering resources are owned by a nation state and are merely assigned to the number range holder. Assignments can be withdrawn at any time, in accordance with local regulations.</w:t>
      </w:r>
    </w:p>
    <w:p w14:paraId="7CA2E93C" w14:textId="77777777" w:rsidR="005841D0" w:rsidRDefault="005841D0" w:rsidP="005841D0">
      <w:pPr>
        <w:pStyle w:val="Heading2"/>
      </w:pPr>
      <w:bookmarkStart w:id="40" w:name="_Ref85404166"/>
      <w:bookmarkStart w:id="41" w:name="_Toc85405223"/>
      <w:bookmarkStart w:id="42" w:name="_Toc216786442"/>
      <w:r w:rsidRPr="00A14E11">
        <w:t xml:space="preserve">GT Leasing </w:t>
      </w:r>
      <w:r>
        <w:t>Parties</w:t>
      </w:r>
      <w:bookmarkEnd w:id="40"/>
      <w:bookmarkEnd w:id="41"/>
      <w:bookmarkEnd w:id="42"/>
    </w:p>
    <w:p w14:paraId="10DAB031" w14:textId="47188EA9" w:rsidR="005841D0" w:rsidRPr="00A14E11" w:rsidRDefault="005841D0" w:rsidP="005841D0">
      <w:pPr>
        <w:pStyle w:val="NormalParagraph"/>
      </w:pPr>
      <w:r>
        <w:rPr>
          <w:lang w:eastAsia="en-US" w:bidi="bn-BD"/>
        </w:rPr>
        <w:t xml:space="preserve">There are different stakeholders </w:t>
      </w:r>
      <w:r w:rsidR="00E6157D">
        <w:rPr>
          <w:lang w:eastAsia="en-US" w:bidi="bn-BD"/>
        </w:rPr>
        <w:t>involved in</w:t>
      </w:r>
      <w:r>
        <w:rPr>
          <w:lang w:eastAsia="en-US" w:bidi="bn-BD"/>
        </w:rPr>
        <w:t xml:space="preserve"> GT leasing</w:t>
      </w:r>
      <w:r w:rsidR="00E6157D">
        <w:rPr>
          <w:lang w:eastAsia="en-US" w:bidi="bn-BD"/>
        </w:rPr>
        <w:t xml:space="preserve"> and their roles </w:t>
      </w:r>
      <w:r>
        <w:rPr>
          <w:lang w:eastAsia="en-US" w:bidi="bn-BD"/>
        </w:rPr>
        <w:t>are defined below:</w:t>
      </w:r>
    </w:p>
    <w:p w14:paraId="538AB07A" w14:textId="77777777" w:rsidR="00AF57E4" w:rsidRDefault="005841D0" w:rsidP="00AF57E4">
      <w:pPr>
        <w:pStyle w:val="ListNumber"/>
        <w:numPr>
          <w:ilvl w:val="3"/>
          <w:numId w:val="37"/>
        </w:numPr>
        <w:ind w:left="709"/>
      </w:pPr>
      <w:r w:rsidRPr="00AF57E4">
        <w:rPr>
          <w:b/>
          <w:bCs/>
        </w:rPr>
        <w:t>GT Assignee</w:t>
      </w:r>
      <w:r w:rsidRPr="00AF57E4">
        <w:t xml:space="preserve"> – this is the party that asserts “ownership” of a GT – this is a self-declaration that the party has been assigned the number range by the appropriate national regulatory authority and has elected to use all or part of that range for Global Title addresses. Note, typically, there is no verification of the veracity of this information.</w:t>
      </w:r>
      <w:bookmarkStart w:id="43" w:name="_Hlk114818014"/>
    </w:p>
    <w:p w14:paraId="725B5310" w14:textId="1425B932" w:rsidR="00AF57E4" w:rsidRDefault="005841D0" w:rsidP="00AF57E4">
      <w:pPr>
        <w:pStyle w:val="ListNumber"/>
        <w:numPr>
          <w:ilvl w:val="3"/>
          <w:numId w:val="37"/>
        </w:numPr>
        <w:ind w:left="709"/>
      </w:pPr>
      <w:r w:rsidRPr="00AF57E4">
        <w:rPr>
          <w:b/>
          <w:bCs/>
        </w:rPr>
        <w:t>GT Lessor</w:t>
      </w:r>
      <w:r w:rsidRPr="00AF57E4">
        <w:t xml:space="preserve"> – this is a GT Assignee that has decided to lease one or more of its GTs to a third party, the GT Lessee, through a bilateral agreement. </w:t>
      </w:r>
      <w:bookmarkEnd w:id="43"/>
    </w:p>
    <w:p w14:paraId="1B0C1C8F" w14:textId="3AB05166" w:rsidR="00AF57E4" w:rsidRDefault="005841D0" w:rsidP="00AF57E4">
      <w:pPr>
        <w:pStyle w:val="ListNumber"/>
        <w:numPr>
          <w:ilvl w:val="3"/>
          <w:numId w:val="37"/>
        </w:numPr>
        <w:ind w:left="709"/>
      </w:pPr>
      <w:r w:rsidRPr="00AF57E4">
        <w:rPr>
          <w:b/>
          <w:bCs/>
        </w:rPr>
        <w:t>GT Lessee</w:t>
      </w:r>
      <w:r w:rsidRPr="00AF57E4">
        <w:t xml:space="preserve"> – third party who will use a leased global title from a GT Lessor</w:t>
      </w:r>
      <w:r w:rsidR="00AF57E4">
        <w:t>.</w:t>
      </w:r>
      <w:r w:rsidRPr="00AF57E4">
        <w:t xml:space="preserve"> </w:t>
      </w:r>
    </w:p>
    <w:p w14:paraId="6D190654" w14:textId="77777777" w:rsidR="00AF57E4" w:rsidRDefault="005841D0" w:rsidP="00AF57E4">
      <w:pPr>
        <w:pStyle w:val="ListNumber"/>
        <w:numPr>
          <w:ilvl w:val="3"/>
          <w:numId w:val="37"/>
        </w:numPr>
        <w:ind w:left="709"/>
      </w:pPr>
      <w:r w:rsidRPr="00AF57E4">
        <w:rPr>
          <w:b/>
          <w:bCs/>
        </w:rPr>
        <w:t>GT Sub-Lessee</w:t>
      </w:r>
      <w:r w:rsidRPr="00AF57E4">
        <w:t xml:space="preserve"> – this is an additional third party who has entered into an agreement with the GT Lessee to sub-lease a GT from it. </w:t>
      </w:r>
    </w:p>
    <w:p w14:paraId="347C3232" w14:textId="77777777" w:rsidR="00AF57E4" w:rsidRDefault="005841D0" w:rsidP="00AF57E4">
      <w:pPr>
        <w:pStyle w:val="ListNumber"/>
        <w:numPr>
          <w:ilvl w:val="3"/>
          <w:numId w:val="37"/>
        </w:numPr>
        <w:ind w:left="709"/>
      </w:pPr>
      <w:r w:rsidRPr="00AF57E4">
        <w:rPr>
          <w:b/>
          <w:bCs/>
        </w:rPr>
        <w:t>Transit Carrier</w:t>
      </w:r>
      <w:r w:rsidRPr="00AF57E4">
        <w:t xml:space="preserve"> – this is an international carrier or IPX that carries signalling traffic. In the case of Diameter and GTP traffic, there should be a maximum of two consecutive Transit Carriers. In the case of SS7 traffic, there can be multiple consecutive Transit Carriers. The Transit Carriers are responsible for delivering traffic to the Target Operator. It is possible for a Transit Carrier to additionally be a GT Lessor, separate from its role as a Transit Carrier.</w:t>
      </w:r>
    </w:p>
    <w:p w14:paraId="0B475157" w14:textId="063E77CD" w:rsidR="005841D0" w:rsidRPr="00AF57E4" w:rsidRDefault="005841D0" w:rsidP="00AF57E4">
      <w:pPr>
        <w:pStyle w:val="ListNumber"/>
        <w:numPr>
          <w:ilvl w:val="3"/>
          <w:numId w:val="37"/>
        </w:numPr>
        <w:ind w:left="709"/>
      </w:pPr>
      <w:r w:rsidRPr="00AF57E4">
        <w:rPr>
          <w:b/>
          <w:bCs/>
        </w:rPr>
        <w:t>Target Operator</w:t>
      </w:r>
      <w:r w:rsidRPr="00AF57E4">
        <w:t xml:space="preserve"> – this is the MNO to which the signalling traffic is destined. This may be the home network of the subscriber or a visited network in the case of roaming. The Target Operator may or may not have a roaming agreement with the GT Lessor but</w:t>
      </w:r>
      <w:r w:rsidR="005908D5" w:rsidRPr="00AF57E4">
        <w:t>,</w:t>
      </w:r>
      <w:r w:rsidRPr="00AF57E4">
        <w:t xml:space="preserve"> </w:t>
      </w:r>
      <w:proofErr w:type="gramStart"/>
      <w:r w:rsidRPr="00AF57E4">
        <w:t>with the exception of</w:t>
      </w:r>
      <w:proofErr w:type="gramEnd"/>
      <w:r w:rsidRPr="00AF57E4">
        <w:t xml:space="preserve"> a specific commercial agreement, doesn’t have a roaming agreement with the GT Lessee (or Sub-Lessee).</w:t>
      </w:r>
    </w:p>
    <w:p w14:paraId="4A082F07" w14:textId="77777777" w:rsidR="005841D0" w:rsidRDefault="005841D0" w:rsidP="005841D0">
      <w:pPr>
        <w:pStyle w:val="Heading2"/>
      </w:pPr>
      <w:bookmarkStart w:id="44" w:name="_Toc85405224"/>
      <w:bookmarkStart w:id="45" w:name="_Toc216786443"/>
      <w:r>
        <w:t>Benefits of GT Leasing</w:t>
      </w:r>
      <w:bookmarkEnd w:id="44"/>
      <w:bookmarkEnd w:id="45"/>
    </w:p>
    <w:p w14:paraId="3700F0C4" w14:textId="3BF2F09A" w:rsidR="005841D0" w:rsidRDefault="005841D0" w:rsidP="005841D0">
      <w:pPr>
        <w:pStyle w:val="NormalParagraph"/>
        <w:rPr>
          <w:lang w:eastAsia="en-US" w:bidi="bn-BD"/>
        </w:rPr>
      </w:pPr>
      <w:r>
        <w:rPr>
          <w:lang w:eastAsia="en-US" w:bidi="bn-BD"/>
        </w:rPr>
        <w:t xml:space="preserve">The leasing of GTs to third parties can be beneficial </w:t>
      </w:r>
      <w:r w:rsidR="003869AB">
        <w:rPr>
          <w:lang w:eastAsia="en-US" w:bidi="bn-BD"/>
        </w:rPr>
        <w:t>and serve</w:t>
      </w:r>
      <w:r>
        <w:rPr>
          <w:lang w:eastAsia="en-US" w:bidi="bn-BD"/>
        </w:rPr>
        <w:t xml:space="preserve"> a range of purposes and stakeholders. Whilst the use of GT leasing might be helpful, there is no </w:t>
      </w:r>
      <w:r w:rsidR="00820AB9">
        <w:rPr>
          <w:lang w:eastAsia="en-US" w:bidi="bn-BD"/>
        </w:rPr>
        <w:t xml:space="preserve">absolute </w:t>
      </w:r>
      <w:r>
        <w:rPr>
          <w:lang w:eastAsia="en-US" w:bidi="bn-BD"/>
        </w:rPr>
        <w:t xml:space="preserve">requirement for it to support any </w:t>
      </w:r>
      <w:proofErr w:type="gramStart"/>
      <w:r>
        <w:rPr>
          <w:lang w:eastAsia="en-US" w:bidi="bn-BD"/>
        </w:rPr>
        <w:t>particular service</w:t>
      </w:r>
      <w:proofErr w:type="gramEnd"/>
      <w:r>
        <w:rPr>
          <w:lang w:eastAsia="en-US" w:bidi="bn-BD"/>
        </w:rPr>
        <w:t xml:space="preserve">. </w:t>
      </w:r>
      <w:r>
        <w:t xml:space="preserve">The following claimed benefits, from the perspective of the GT Assignee, Lessor or Lessee, are provided as </w:t>
      </w:r>
      <w:r w:rsidR="00691CE2">
        <w:t xml:space="preserve">illustrative </w:t>
      </w:r>
      <w:r>
        <w:t xml:space="preserve">examples and the </w:t>
      </w:r>
      <w:r>
        <w:rPr>
          <w:lang w:eastAsia="en-US" w:bidi="bn-BD"/>
        </w:rPr>
        <w:t>list is not exhaustive.</w:t>
      </w:r>
    </w:p>
    <w:p w14:paraId="3A216526" w14:textId="77777777" w:rsidR="005841D0" w:rsidRPr="00BC6DA8" w:rsidRDefault="005841D0" w:rsidP="00AF57E4">
      <w:pPr>
        <w:pStyle w:val="NormalParagraph"/>
      </w:pPr>
      <w:r w:rsidRPr="00BC6DA8">
        <w:lastRenderedPageBreak/>
        <w:t>Benefits for the GT Assignee:</w:t>
      </w:r>
    </w:p>
    <w:p w14:paraId="2E322365" w14:textId="77777777" w:rsidR="005841D0" w:rsidRPr="00BC6DA8" w:rsidRDefault="005841D0" w:rsidP="00AF57E4">
      <w:pPr>
        <w:pStyle w:val="ListBullet1"/>
        <w:numPr>
          <w:ilvl w:val="0"/>
          <w:numId w:val="36"/>
        </w:numPr>
      </w:pPr>
      <w:r w:rsidRPr="00BC6DA8">
        <w:t>Opportunity to access a new revenue stream by becoming a GT Lessor.</w:t>
      </w:r>
    </w:p>
    <w:p w14:paraId="5484A332" w14:textId="77777777" w:rsidR="005841D0" w:rsidRDefault="005841D0" w:rsidP="00AF57E4">
      <w:pPr>
        <w:pStyle w:val="NormalParagraph"/>
      </w:pPr>
      <w:r>
        <w:t>Benefits for the GT Lessor:</w:t>
      </w:r>
    </w:p>
    <w:p w14:paraId="7F759645" w14:textId="4878AD9C" w:rsidR="005841D0" w:rsidRDefault="005841D0" w:rsidP="00AF57E4">
      <w:pPr>
        <w:pStyle w:val="ListBullet1"/>
        <w:numPr>
          <w:ilvl w:val="0"/>
          <w:numId w:val="36"/>
        </w:numPr>
      </w:pPr>
      <w:r w:rsidRPr="00BC6DA8">
        <w:t>Potential</w:t>
      </w:r>
      <w:r>
        <w:t xml:space="preserve"> additional revenue</w:t>
      </w:r>
      <w:r w:rsidR="007F496E">
        <w:t xml:space="preserve"> from leasing assigned GTs</w:t>
      </w:r>
    </w:p>
    <w:p w14:paraId="5D12BE7D" w14:textId="77777777" w:rsidR="005841D0" w:rsidRDefault="005841D0" w:rsidP="00AF57E4">
      <w:pPr>
        <w:pStyle w:val="NormalParagraph"/>
      </w:pPr>
      <w:r>
        <w:t>Benefits for the GT Lessee:</w:t>
      </w:r>
    </w:p>
    <w:p w14:paraId="3322B121" w14:textId="15B152DB" w:rsidR="005841D0" w:rsidRDefault="005841D0" w:rsidP="00AF57E4">
      <w:pPr>
        <w:pStyle w:val="ListBullet1"/>
        <w:numPr>
          <w:ilvl w:val="0"/>
          <w:numId w:val="39"/>
        </w:numPr>
        <w:contextualSpacing w:val="0"/>
      </w:pPr>
      <w:r>
        <w:t>Can gain</w:t>
      </w:r>
      <w:r w:rsidRPr="00173C12">
        <w:t xml:space="preserve"> </w:t>
      </w:r>
      <w:r>
        <w:t xml:space="preserve">access to the SS7 signalling network </w:t>
      </w:r>
      <w:r w:rsidR="00674BE2">
        <w:t xml:space="preserve">using leased GTs </w:t>
      </w:r>
      <w:r>
        <w:t>for e.g.:</w:t>
      </w:r>
    </w:p>
    <w:p w14:paraId="54F21228" w14:textId="77777777" w:rsidR="005841D0" w:rsidRDefault="005841D0" w:rsidP="00AF57E4">
      <w:pPr>
        <w:pStyle w:val="ListBullet2"/>
        <w:numPr>
          <w:ilvl w:val="1"/>
          <w:numId w:val="40"/>
        </w:numPr>
        <w:contextualSpacing w:val="0"/>
      </w:pPr>
      <w:r>
        <w:t>“Thick” MVNOs that have their own core network that require such resources but may not be able to obtain them due to local regulations or they may be required to use such GTs due to local regulation; or</w:t>
      </w:r>
    </w:p>
    <w:p w14:paraId="65AF7A32" w14:textId="77777777" w:rsidR="005841D0" w:rsidRDefault="005841D0" w:rsidP="00AF57E4">
      <w:pPr>
        <w:pStyle w:val="ListBullet2"/>
        <w:numPr>
          <w:ilvl w:val="1"/>
          <w:numId w:val="40"/>
        </w:numPr>
        <w:contextualSpacing w:val="0"/>
      </w:pPr>
      <w:r>
        <w:t xml:space="preserve">Third parties providing innovative </w:t>
      </w:r>
      <w:proofErr w:type="gramStart"/>
      <w:r>
        <w:t>value added</w:t>
      </w:r>
      <w:proofErr w:type="gramEnd"/>
      <w:r>
        <w:t xml:space="preserve"> services; or</w:t>
      </w:r>
    </w:p>
    <w:p w14:paraId="17EFBF10" w14:textId="77777777" w:rsidR="005841D0" w:rsidRDefault="005841D0" w:rsidP="00AF57E4">
      <w:pPr>
        <w:pStyle w:val="ListBullet2"/>
        <w:numPr>
          <w:ilvl w:val="1"/>
          <w:numId w:val="40"/>
        </w:numPr>
        <w:contextualSpacing w:val="0"/>
      </w:pPr>
      <w:r>
        <w:t>Security companies conducting penetration testing</w:t>
      </w:r>
    </w:p>
    <w:p w14:paraId="638175B1" w14:textId="77777777" w:rsidR="005841D0" w:rsidRDefault="005841D0" w:rsidP="005841D0">
      <w:pPr>
        <w:pStyle w:val="Heading2"/>
      </w:pPr>
      <w:bookmarkStart w:id="46" w:name="_Toc85405225"/>
      <w:bookmarkStart w:id="47" w:name="_Toc216786444"/>
      <w:r>
        <w:t>Issues and Concerns with GT Leasing</w:t>
      </w:r>
      <w:bookmarkEnd w:id="46"/>
      <w:bookmarkEnd w:id="47"/>
    </w:p>
    <w:p w14:paraId="788CFFEF" w14:textId="72051B3C" w:rsidR="005841D0" w:rsidRDefault="005841D0" w:rsidP="005841D0">
      <w:pPr>
        <w:pStyle w:val="NormalParagraph"/>
      </w:pPr>
      <w:r>
        <w:t xml:space="preserve">GT leasing has evolved through the emergence of commercial relationships that were built up over time without any industry standardisation, specifications, or recommendations. As a result, there is no agreed framework governing the relationships between GT Lessors and the networks to which they are interconnected. Not all the parties engaged in GT leasing have </w:t>
      </w:r>
      <w:proofErr w:type="gramStart"/>
      <w:r>
        <w:t>given consideration to</w:t>
      </w:r>
      <w:proofErr w:type="gramEnd"/>
      <w:r>
        <w:t xml:space="preserve"> the impact of GT leasing upon either the networks to which traffic generated by GT leasing is destined nor to the subscribers of those networks. There are various issues and concerns that have either never been addressed or have been addressed in a piecemeal manner. A summary of some of the key issues follows, most of which are related to the lack of transparency of the true originator and recipient of traffic from/to leased GTs.</w:t>
      </w:r>
    </w:p>
    <w:p w14:paraId="54435E99" w14:textId="77777777" w:rsidR="005841D0" w:rsidRPr="00741928" w:rsidRDefault="005841D0" w:rsidP="005F6668">
      <w:pPr>
        <w:pStyle w:val="ListBullet1"/>
        <w:numPr>
          <w:ilvl w:val="0"/>
          <w:numId w:val="45"/>
        </w:numPr>
        <w:tabs>
          <w:tab w:val="clear" w:pos="680"/>
          <w:tab w:val="left" w:pos="709"/>
        </w:tabs>
        <w:ind w:hanging="436"/>
      </w:pPr>
      <w:r w:rsidRPr="00741928">
        <w:t>GT leasing hides the true source and identity of the party sending the signalling traffic.</w:t>
      </w:r>
    </w:p>
    <w:p w14:paraId="3790E747" w14:textId="77777777" w:rsidR="005841D0" w:rsidRPr="00741928" w:rsidRDefault="005841D0" w:rsidP="005F6668">
      <w:pPr>
        <w:pStyle w:val="ListBullet1"/>
        <w:numPr>
          <w:ilvl w:val="0"/>
          <w:numId w:val="45"/>
        </w:numPr>
        <w:tabs>
          <w:tab w:val="clear" w:pos="680"/>
          <w:tab w:val="left" w:pos="709"/>
        </w:tabs>
        <w:ind w:hanging="436"/>
      </w:pPr>
      <w:r w:rsidRPr="00741928">
        <w:t>There is no ability for the Target Operator to independently perform due diligence on the true originator of traffic i.e. the GT Lessee. Cooperation of either the Transit Carrier or GT Lessor is required.</w:t>
      </w:r>
    </w:p>
    <w:p w14:paraId="4D056483" w14:textId="77777777" w:rsidR="005841D0" w:rsidRPr="00741928" w:rsidRDefault="005841D0" w:rsidP="005F6668">
      <w:pPr>
        <w:pStyle w:val="ListBullet1"/>
        <w:numPr>
          <w:ilvl w:val="0"/>
          <w:numId w:val="45"/>
        </w:numPr>
        <w:tabs>
          <w:tab w:val="clear" w:pos="680"/>
          <w:tab w:val="left" w:pos="709"/>
        </w:tabs>
        <w:ind w:hanging="436"/>
      </w:pPr>
      <w:r w:rsidRPr="00741928">
        <w:t>There is no requirement or accountability for the GT Lessor to specify in their IR.21 document which GTs or GT ranges are being leased. The concern relates to the anonymity of the lessee of the GTs or GT ranges and the challenges this can present in fault finding and intelligence sharing.</w:t>
      </w:r>
    </w:p>
    <w:p w14:paraId="62EDC7A2" w14:textId="77777777" w:rsidR="005841D0" w:rsidRPr="00741928" w:rsidRDefault="005841D0" w:rsidP="005F6668">
      <w:pPr>
        <w:pStyle w:val="ListBullet1"/>
        <w:numPr>
          <w:ilvl w:val="0"/>
          <w:numId w:val="45"/>
        </w:numPr>
        <w:tabs>
          <w:tab w:val="clear" w:pos="680"/>
          <w:tab w:val="left" w:pos="709"/>
        </w:tabs>
        <w:ind w:hanging="436"/>
      </w:pPr>
      <w:r w:rsidRPr="00741928">
        <w:t>There is no known or explicit limitation to the GT Lessee or Sub-Lessee on their ability to continue to further sub-lease the GT to other third parties.</w:t>
      </w:r>
    </w:p>
    <w:p w14:paraId="57108E15" w14:textId="77777777" w:rsidR="005841D0" w:rsidRPr="00741928" w:rsidRDefault="005841D0" w:rsidP="005F6668">
      <w:pPr>
        <w:pStyle w:val="ListBullet1"/>
        <w:numPr>
          <w:ilvl w:val="0"/>
          <w:numId w:val="45"/>
        </w:numPr>
        <w:tabs>
          <w:tab w:val="clear" w:pos="680"/>
          <w:tab w:val="left" w:pos="709"/>
        </w:tabs>
        <w:ind w:hanging="436"/>
      </w:pPr>
      <w:r w:rsidRPr="00741928">
        <w:t>The Target Operator has not given consent to be interconnected to the GT Lessee or GT Sub-Lessee.</w:t>
      </w:r>
    </w:p>
    <w:p w14:paraId="31279B9D" w14:textId="77777777" w:rsidR="005841D0" w:rsidRPr="00741928" w:rsidRDefault="005841D0" w:rsidP="005F6668">
      <w:pPr>
        <w:pStyle w:val="ListBullet1"/>
        <w:numPr>
          <w:ilvl w:val="0"/>
          <w:numId w:val="45"/>
        </w:numPr>
        <w:tabs>
          <w:tab w:val="clear" w:pos="680"/>
          <w:tab w:val="left" w:pos="709"/>
        </w:tabs>
        <w:ind w:hanging="436"/>
      </w:pPr>
      <w:r w:rsidRPr="00741928">
        <w:t>The Target Operator may not be aware that the signalling connection established for an intended use case may also be used for other purposes without consent.</w:t>
      </w:r>
      <w:r w:rsidRPr="00741928" w:rsidDel="003F572A">
        <w:t xml:space="preserve"> </w:t>
      </w:r>
    </w:p>
    <w:p w14:paraId="5789A3A9" w14:textId="77777777" w:rsidR="005841D0" w:rsidRPr="00741928" w:rsidRDefault="005841D0" w:rsidP="005F6668">
      <w:pPr>
        <w:pStyle w:val="ListBullet1"/>
        <w:numPr>
          <w:ilvl w:val="0"/>
          <w:numId w:val="45"/>
        </w:numPr>
        <w:tabs>
          <w:tab w:val="clear" w:pos="680"/>
          <w:tab w:val="left" w:pos="709"/>
        </w:tabs>
        <w:ind w:hanging="436"/>
      </w:pPr>
      <w:r w:rsidRPr="00741928">
        <w:t>Commercial value may be assigned to information obtained via leased GTs for which the Target Operator is not compensated – despite them providing network resources to support these services.</w:t>
      </w:r>
    </w:p>
    <w:p w14:paraId="56586B20" w14:textId="77777777" w:rsidR="005841D0" w:rsidRPr="00741928" w:rsidRDefault="005841D0" w:rsidP="005F6668">
      <w:pPr>
        <w:pStyle w:val="ListBullet1"/>
        <w:numPr>
          <w:ilvl w:val="0"/>
          <w:numId w:val="45"/>
        </w:numPr>
        <w:tabs>
          <w:tab w:val="clear" w:pos="680"/>
          <w:tab w:val="left" w:pos="709"/>
        </w:tabs>
        <w:ind w:hanging="436"/>
      </w:pPr>
      <w:r w:rsidRPr="00741928">
        <w:lastRenderedPageBreak/>
        <w:t>Distribution of malicious traffic across multiple coordinated leased GTs (from multiple GT Lessors) adds complexity in identifying the true originator/source of the malicious traffic.</w:t>
      </w:r>
    </w:p>
    <w:p w14:paraId="19129793" w14:textId="77777777" w:rsidR="005841D0" w:rsidRPr="00741928" w:rsidRDefault="005841D0" w:rsidP="005F6668">
      <w:pPr>
        <w:pStyle w:val="ListBullet1"/>
        <w:numPr>
          <w:ilvl w:val="0"/>
          <w:numId w:val="45"/>
        </w:numPr>
        <w:tabs>
          <w:tab w:val="clear" w:pos="680"/>
          <w:tab w:val="left" w:pos="709"/>
        </w:tabs>
        <w:ind w:hanging="436"/>
      </w:pPr>
      <w:r w:rsidRPr="00741928">
        <w:t>Fault investigation is complex. There is no verification as to the type and validity of the SS7 node using the leased GT, increasing operational complexity and increased security vulnerability for the Target Operator.</w:t>
      </w:r>
    </w:p>
    <w:p w14:paraId="794D99EC" w14:textId="77777777" w:rsidR="005841D0" w:rsidRPr="00741928" w:rsidRDefault="005841D0" w:rsidP="005F6668">
      <w:pPr>
        <w:pStyle w:val="ListBullet1"/>
        <w:numPr>
          <w:ilvl w:val="0"/>
          <w:numId w:val="45"/>
        </w:numPr>
        <w:tabs>
          <w:tab w:val="clear" w:pos="680"/>
          <w:tab w:val="left" w:pos="709"/>
        </w:tabs>
        <w:ind w:hanging="436"/>
      </w:pPr>
      <w:r w:rsidRPr="00741928">
        <w:t>Additional costs to the Target Operator (e.g. SS7 transit charges).</w:t>
      </w:r>
    </w:p>
    <w:p w14:paraId="3116E36E" w14:textId="77777777" w:rsidR="005841D0" w:rsidRPr="00741928" w:rsidRDefault="005841D0" w:rsidP="005F6668">
      <w:pPr>
        <w:pStyle w:val="ListBullet1"/>
        <w:numPr>
          <w:ilvl w:val="0"/>
          <w:numId w:val="45"/>
        </w:numPr>
        <w:tabs>
          <w:tab w:val="clear" w:pos="680"/>
          <w:tab w:val="left" w:pos="709"/>
        </w:tabs>
        <w:ind w:hanging="436"/>
      </w:pPr>
      <w:r w:rsidRPr="00741928">
        <w:t xml:space="preserve">Disruption to legitimate services. The operation of </w:t>
      </w:r>
      <w:proofErr w:type="gramStart"/>
      <w:r w:rsidRPr="00741928">
        <w:t>third party</w:t>
      </w:r>
      <w:proofErr w:type="gramEnd"/>
      <w:r w:rsidRPr="00741928">
        <w:t xml:space="preserve"> services by a GT Lessee or GT Sub-Lessee can impact on legitimate services offered by the Target Operator. In extreme cases, this can lead to denial of service (DoS) of the target user’s device. </w:t>
      </w:r>
    </w:p>
    <w:p w14:paraId="561FADA1" w14:textId="77777777" w:rsidR="005841D0" w:rsidRPr="00741928" w:rsidRDefault="005841D0" w:rsidP="005F6668">
      <w:pPr>
        <w:pStyle w:val="ListBullet1"/>
        <w:numPr>
          <w:ilvl w:val="0"/>
          <w:numId w:val="45"/>
        </w:numPr>
        <w:tabs>
          <w:tab w:val="clear" w:pos="680"/>
          <w:tab w:val="left" w:pos="709"/>
        </w:tabs>
        <w:ind w:hanging="436"/>
      </w:pPr>
      <w:r w:rsidRPr="00741928">
        <w:t>Third party services enabled via GT leasing and offered by a GT Lessee or GT Sub-Lessee cannot be guaranteed and may be disrupted if a Target Operator implements measures to block what it considers to be unauthorised use. In such cases, the third-party service provider may be open to accusations of mis-selling.</w:t>
      </w:r>
    </w:p>
    <w:p w14:paraId="1854DBF2" w14:textId="77777777" w:rsidR="005841D0" w:rsidRPr="00741928" w:rsidRDefault="005841D0" w:rsidP="005F6668">
      <w:pPr>
        <w:pStyle w:val="ListBullet1"/>
        <w:numPr>
          <w:ilvl w:val="0"/>
          <w:numId w:val="45"/>
        </w:numPr>
        <w:tabs>
          <w:tab w:val="clear" w:pos="680"/>
          <w:tab w:val="left" w:pos="709"/>
        </w:tabs>
        <w:ind w:hanging="436"/>
      </w:pPr>
      <w:r w:rsidRPr="00741928">
        <w:t>The Target Operator (and potentially others in the signal path) may be in breach of data protection or privacy legislation through the leakage of personal identifiable information.</w:t>
      </w:r>
    </w:p>
    <w:p w14:paraId="0A86A052" w14:textId="77777777" w:rsidR="005841D0" w:rsidRPr="00741928" w:rsidRDefault="005841D0" w:rsidP="005F6668">
      <w:pPr>
        <w:pStyle w:val="ListBullet1"/>
        <w:numPr>
          <w:ilvl w:val="0"/>
          <w:numId w:val="45"/>
        </w:numPr>
        <w:tabs>
          <w:tab w:val="clear" w:pos="680"/>
          <w:tab w:val="left" w:pos="709"/>
        </w:tabs>
        <w:ind w:hanging="436"/>
      </w:pPr>
      <w:bookmarkStart w:id="48" w:name="_Hlk126751004"/>
      <w:r w:rsidRPr="00741928">
        <w:t>Correct identification of the GT Lessor may be challenging where the Target Operator has incorrectly configured IR.21 data.</w:t>
      </w:r>
      <w:bookmarkStart w:id="49" w:name="_Toc85405226"/>
      <w:r w:rsidRPr="00741928">
        <w:t xml:space="preserve"> Specifically, even though the GT Lessor may have provided transparent GT Lessee data in the GT Lessor’s IR.21, the Target Operator may have failed to properly invoke that data. Incorrect, incomplete or imprecise IR.21 data provided by the GT Lessor may also give </w:t>
      </w:r>
      <w:proofErr w:type="gramStart"/>
      <w:r w:rsidRPr="00741928">
        <w:t>an</w:t>
      </w:r>
      <w:proofErr w:type="gramEnd"/>
      <w:r w:rsidRPr="00741928">
        <w:t xml:space="preserve"> impression that no GT leasing is taking place even though this may be untrue.</w:t>
      </w:r>
    </w:p>
    <w:p w14:paraId="69C10F40" w14:textId="77777777" w:rsidR="005841D0" w:rsidRPr="00741928" w:rsidRDefault="005841D0" w:rsidP="005F6668">
      <w:pPr>
        <w:pStyle w:val="ListBullet1"/>
        <w:numPr>
          <w:ilvl w:val="0"/>
          <w:numId w:val="45"/>
        </w:numPr>
        <w:tabs>
          <w:tab w:val="clear" w:pos="680"/>
          <w:tab w:val="left" w:pos="709"/>
        </w:tabs>
        <w:ind w:hanging="436"/>
      </w:pPr>
      <w:r w:rsidRPr="00741928">
        <w:t>The use of leased GTs for malicious or unauthorised purposes can lead to reputational damage for the GT Lessor and its country’s national numbering resources.</w:t>
      </w:r>
    </w:p>
    <w:p w14:paraId="2E73038F" w14:textId="77777777" w:rsidR="005841D0" w:rsidRDefault="005841D0" w:rsidP="005841D0">
      <w:pPr>
        <w:pStyle w:val="Heading2"/>
      </w:pPr>
      <w:bookmarkStart w:id="50" w:name="_Toc216786445"/>
      <w:bookmarkEnd w:id="48"/>
      <w:r>
        <w:t>Potential impacts of GT Leasing and GT Sub-Leasing to the GT Lessor</w:t>
      </w:r>
      <w:bookmarkEnd w:id="50"/>
    </w:p>
    <w:p w14:paraId="0D5C61B7" w14:textId="32184D44" w:rsidR="005841D0" w:rsidRDefault="005841D0" w:rsidP="005841D0">
      <w:pPr>
        <w:pStyle w:val="NormalParagraph"/>
        <w:rPr>
          <w:lang w:eastAsia="en-US" w:bidi="bn-BD"/>
        </w:rPr>
      </w:pPr>
      <w:bookmarkStart w:id="51" w:name="_Hlk114817952"/>
      <w:r>
        <w:rPr>
          <w:lang w:eastAsia="en-US" w:bidi="bn-BD"/>
        </w:rPr>
        <w:t xml:space="preserve">The very foundation of GT leasing is a bilateral agreement where the GT Lessee benefits from the GT Lessor’s resources. </w:t>
      </w:r>
      <w:bookmarkEnd w:id="51"/>
      <w:r>
        <w:rPr>
          <w:lang w:eastAsia="en-US" w:bidi="bn-BD"/>
        </w:rPr>
        <w:t>However, it is important to appreciate that those resources (e.g. roaming partner relationships, signalling connectivity</w:t>
      </w:r>
      <w:r w:rsidR="002F1F98">
        <w:rPr>
          <w:lang w:eastAsia="en-US" w:bidi="bn-BD"/>
        </w:rPr>
        <w:t>,</w:t>
      </w:r>
      <w:r>
        <w:rPr>
          <w:lang w:eastAsia="en-US" w:bidi="bn-BD"/>
        </w:rPr>
        <w:t xml:space="preserve"> etc.) may have been accumulated over several decades of effort and investment by the GT Lessor. One reason the GT Lessor accumulated those resources was to enhance its domestic coverage, subscriber base and roaming business value. None of these are easy to accumulate and are the result of significant expenditure and investment.</w:t>
      </w:r>
    </w:p>
    <w:p w14:paraId="2C1D5803" w14:textId="77777777" w:rsidR="005841D0" w:rsidRDefault="005841D0" w:rsidP="005841D0">
      <w:pPr>
        <w:pStyle w:val="NormalParagraph"/>
        <w:rPr>
          <w:lang w:eastAsia="en-US" w:bidi="bn-BD"/>
        </w:rPr>
      </w:pPr>
      <w:r>
        <w:rPr>
          <w:lang w:eastAsia="en-US" w:bidi="bn-BD"/>
        </w:rPr>
        <w:t>When a GT Lessor leases a GT to a third party, it is placing its reputation and brand into the hands of that third party and indeed into the hands of any additional parties to which the third party may sub-lease the GT. In this case</w:t>
      </w:r>
      <w:r>
        <w:t xml:space="preserve"> the GT Lessor would probably have limited or no commercial or technical visibility of this arrangement. </w:t>
      </w:r>
      <w:r>
        <w:rPr>
          <w:lang w:eastAsia="en-US" w:bidi="bn-BD"/>
        </w:rPr>
        <w:t>If that trust is breached, the consequences may be severe. It is important that any GT Assignee considering GT Leasing is aware of the pitfalls of this business model. The additional revenues that this business may yield could be very small compared to the impact of any potential reputational damage.</w:t>
      </w:r>
    </w:p>
    <w:p w14:paraId="7CC63D35" w14:textId="77777777" w:rsidR="005841D0" w:rsidRDefault="005841D0" w:rsidP="005841D0">
      <w:pPr>
        <w:pStyle w:val="Heading1"/>
      </w:pPr>
      <w:bookmarkStart w:id="52" w:name="_Toc216786446"/>
      <w:r>
        <w:lastRenderedPageBreak/>
        <w:t>Global Title Leasing</w:t>
      </w:r>
      <w:bookmarkEnd w:id="49"/>
      <w:r>
        <w:t xml:space="preserve"> Use Cases</w:t>
      </w:r>
      <w:bookmarkEnd w:id="52"/>
    </w:p>
    <w:p w14:paraId="5C271D74" w14:textId="197262E9" w:rsidR="005841D0" w:rsidRDefault="005841D0" w:rsidP="005841D0">
      <w:pPr>
        <w:pStyle w:val="NormalParagraph"/>
      </w:pPr>
      <w:r>
        <w:t>GSMA strongly advises that GT leasing should not be used. The following is a list of use cases, historically deployed using GT leasing. In each case</w:t>
      </w:r>
      <w:r w:rsidR="000A5DA8">
        <w:t>,</w:t>
      </w:r>
      <w:r>
        <w:t xml:space="preserve"> solutions could have been deployed without the use of GT leasing.</w:t>
      </w:r>
    </w:p>
    <w:p w14:paraId="63A1C713" w14:textId="77777777" w:rsidR="005841D0" w:rsidRDefault="005841D0" w:rsidP="00164B88">
      <w:pPr>
        <w:pStyle w:val="ListBullet1"/>
        <w:numPr>
          <w:ilvl w:val="0"/>
          <w:numId w:val="46"/>
        </w:numPr>
        <w:ind w:hanging="436"/>
        <w:contextualSpacing w:val="0"/>
      </w:pPr>
      <w:r>
        <w:t xml:space="preserve">SMS aggregators aggregate traffic from multiple sources, typically enterprises but potentially also mobile operators, and route that traffic for delivery to the recipients of those messages. </w:t>
      </w:r>
    </w:p>
    <w:p w14:paraId="505F1F3C" w14:textId="48F2BE17" w:rsidR="005841D0" w:rsidRDefault="005841D0" w:rsidP="00164B88">
      <w:pPr>
        <w:pStyle w:val="ListBullet1"/>
        <w:numPr>
          <w:ilvl w:val="0"/>
          <w:numId w:val="46"/>
        </w:numPr>
        <w:ind w:hanging="436"/>
        <w:contextualSpacing w:val="0"/>
      </w:pPr>
      <w:r>
        <w:t xml:space="preserve">Penetration Testing: Security companies that engage in external penetration testing require access to </w:t>
      </w:r>
      <w:r w:rsidR="004C5177">
        <w:t>GT</w:t>
      </w:r>
      <w:r>
        <w:t xml:space="preserve">s to execute their tests. </w:t>
      </w:r>
    </w:p>
    <w:p w14:paraId="6C3E19E2" w14:textId="77777777" w:rsidR="005841D0" w:rsidRDefault="005841D0" w:rsidP="00164B88">
      <w:pPr>
        <w:pStyle w:val="ListBullet1"/>
        <w:numPr>
          <w:ilvl w:val="0"/>
          <w:numId w:val="46"/>
        </w:numPr>
        <w:ind w:hanging="436"/>
        <w:contextualSpacing w:val="0"/>
      </w:pPr>
      <w:r>
        <w:t xml:space="preserve">Location tracking for fraud prevention e.g., banks may require the location of customers that have consented to share this information. </w:t>
      </w:r>
    </w:p>
    <w:p w14:paraId="2573F22F" w14:textId="77777777" w:rsidR="005841D0" w:rsidRDefault="005841D0" w:rsidP="00164B88">
      <w:pPr>
        <w:pStyle w:val="ListBullet1"/>
        <w:numPr>
          <w:ilvl w:val="0"/>
          <w:numId w:val="46"/>
        </w:numPr>
        <w:ind w:hanging="436"/>
        <w:contextualSpacing w:val="0"/>
      </w:pPr>
      <w:r>
        <w:t>Information about customer account status to prevent fraud e.g., “Know your customer”. This may be through confirmation of call divert status or whether a recent SIM swap has taken place.</w:t>
      </w:r>
    </w:p>
    <w:p w14:paraId="6C1EAAF2" w14:textId="77777777" w:rsidR="005841D0" w:rsidRDefault="005841D0" w:rsidP="00164B88">
      <w:pPr>
        <w:pStyle w:val="ListBullet1"/>
        <w:numPr>
          <w:ilvl w:val="0"/>
          <w:numId w:val="46"/>
        </w:numPr>
        <w:ind w:hanging="436"/>
        <w:contextualSpacing w:val="0"/>
      </w:pPr>
      <w:r>
        <w:t>“Thick” MVNOs and sponsored roaming providers that have their own core networks may require GTs from their host networks for their own core network nodes.</w:t>
      </w:r>
    </w:p>
    <w:p w14:paraId="6F90F6C1" w14:textId="77777777" w:rsidR="005841D0" w:rsidRDefault="005841D0" w:rsidP="00164B88">
      <w:pPr>
        <w:pStyle w:val="ListBullet1"/>
        <w:numPr>
          <w:ilvl w:val="0"/>
          <w:numId w:val="46"/>
        </w:numPr>
        <w:ind w:hanging="436"/>
        <w:contextualSpacing w:val="0"/>
      </w:pPr>
      <w:r>
        <w:t xml:space="preserve">Mergers and acquisitions e.g. where a GT Assignee or GT Lessor </w:t>
      </w:r>
      <w:proofErr w:type="gramStart"/>
      <w:r>
        <w:t>has</w:t>
      </w:r>
      <w:proofErr w:type="gramEnd"/>
      <w:r>
        <w:t xml:space="preserve"> sold part of its business but continues to offer network access services to the new entity.</w:t>
      </w:r>
    </w:p>
    <w:p w14:paraId="2757393C" w14:textId="77777777" w:rsidR="005841D0" w:rsidRDefault="005841D0" w:rsidP="00164B88">
      <w:pPr>
        <w:pStyle w:val="ListBullet1"/>
        <w:numPr>
          <w:ilvl w:val="0"/>
          <w:numId w:val="46"/>
        </w:numPr>
        <w:ind w:hanging="436"/>
        <w:contextualSpacing w:val="0"/>
      </w:pPr>
      <w:r>
        <w:t>Non-standardised interworking from non-3GPP networks (CDMA, WiMAX, Wi-Fi)</w:t>
      </w:r>
      <w:r w:rsidRPr="00EA7E3C">
        <w:t xml:space="preserve"> </w:t>
      </w:r>
      <w:r>
        <w:t>to 3GPP networks.</w:t>
      </w:r>
    </w:p>
    <w:p w14:paraId="583B74A8" w14:textId="23734469" w:rsidR="005841D0" w:rsidRDefault="005841D0" w:rsidP="005841D0">
      <w:pPr>
        <w:pStyle w:val="NormalParagraph"/>
      </w:pPr>
      <w:r>
        <w:t xml:space="preserve">Note that this list of Global Title leasing uses cases is provided for example purposes only and does not constitute an exhaustive list of approved </w:t>
      </w:r>
      <w:r w:rsidR="005B45BD">
        <w:t>GT L</w:t>
      </w:r>
      <w:r>
        <w:t xml:space="preserve">easing use cases. </w:t>
      </w:r>
    </w:p>
    <w:p w14:paraId="7BF74445" w14:textId="58014144" w:rsidR="005841D0" w:rsidRDefault="005841D0" w:rsidP="005841D0">
      <w:pPr>
        <w:pStyle w:val="NormalParagraph"/>
      </w:pPr>
      <w:r>
        <w:t xml:space="preserve">Due to potential misuse of SS7, and the obligations and liabilities imposed on GT Assignees under BA.20, the GSMA strongly advises that other options/architectures should be considered as an alternative to GT leasing. For example, where an </w:t>
      </w:r>
      <w:r w:rsidRPr="00A96B59">
        <w:t xml:space="preserve">application programming interface </w:t>
      </w:r>
      <w:r>
        <w:t xml:space="preserve">(API) is used to fulfil the </w:t>
      </w:r>
      <w:proofErr w:type="gramStart"/>
      <w:r>
        <w:t>aforementioned use</w:t>
      </w:r>
      <w:proofErr w:type="gramEnd"/>
      <w:r>
        <w:t xml:space="preserve"> cases, it should be restricted to the specific use case only, comply with data protection requirements and must be delivered with the specific consent of the Target Operator and their subscribers, where applicable.</w:t>
      </w:r>
    </w:p>
    <w:p w14:paraId="5802F2D7" w14:textId="77777777" w:rsidR="005841D0" w:rsidRDefault="005841D0" w:rsidP="005841D0">
      <w:pPr>
        <w:pStyle w:val="Heading1"/>
      </w:pPr>
      <w:bookmarkStart w:id="53" w:name="_Toc85405227"/>
      <w:bookmarkStart w:id="54" w:name="_Toc86821902"/>
      <w:bookmarkStart w:id="55" w:name="_Toc85405228"/>
      <w:bookmarkStart w:id="56" w:name="_Toc86821903"/>
      <w:bookmarkStart w:id="57" w:name="_Toc85405229"/>
      <w:bookmarkStart w:id="58" w:name="_Toc86821904"/>
      <w:bookmarkStart w:id="59" w:name="_Toc85405230"/>
      <w:bookmarkStart w:id="60" w:name="_Toc86821905"/>
      <w:bookmarkStart w:id="61" w:name="_Toc85405231"/>
      <w:bookmarkStart w:id="62" w:name="_Toc86821906"/>
      <w:bookmarkStart w:id="63" w:name="_Toc85405232"/>
      <w:bookmarkStart w:id="64" w:name="_Toc86821907"/>
      <w:bookmarkStart w:id="65" w:name="_Toc85405233"/>
      <w:bookmarkStart w:id="66" w:name="_Toc86821908"/>
      <w:bookmarkStart w:id="67" w:name="_Toc85405234"/>
      <w:bookmarkStart w:id="68" w:name="_Toc86821909"/>
      <w:bookmarkStart w:id="69" w:name="_Toc85405235"/>
      <w:bookmarkStart w:id="70" w:name="_Toc86821910"/>
      <w:bookmarkStart w:id="71" w:name="_Toc85405236"/>
      <w:bookmarkStart w:id="72" w:name="_Toc86821911"/>
      <w:bookmarkStart w:id="73" w:name="_Toc85405237"/>
      <w:bookmarkStart w:id="74" w:name="_Toc86821912"/>
      <w:bookmarkStart w:id="75" w:name="_Toc85405238"/>
      <w:bookmarkStart w:id="76" w:name="_Toc86821913"/>
      <w:bookmarkStart w:id="77" w:name="_Toc85405239"/>
      <w:bookmarkStart w:id="78" w:name="_Toc86821914"/>
      <w:bookmarkStart w:id="79" w:name="_Toc85405240"/>
      <w:bookmarkStart w:id="80" w:name="_Toc86821915"/>
      <w:bookmarkStart w:id="81" w:name="_Toc85405241"/>
      <w:bookmarkStart w:id="82" w:name="_Toc86821916"/>
      <w:bookmarkStart w:id="83" w:name="_Toc85405242"/>
      <w:bookmarkStart w:id="84" w:name="_Toc86821917"/>
      <w:bookmarkStart w:id="85" w:name="_Toc85405243"/>
      <w:bookmarkStart w:id="86" w:name="_Toc86821918"/>
      <w:bookmarkStart w:id="87" w:name="_Toc85405244"/>
      <w:bookmarkStart w:id="88" w:name="_Toc86821919"/>
      <w:bookmarkStart w:id="89" w:name="_Toc85405245"/>
      <w:bookmarkStart w:id="90" w:name="_Toc86821920"/>
      <w:bookmarkStart w:id="91" w:name="_Ref85406542"/>
      <w:bookmarkStart w:id="92" w:name="_Toc85405246"/>
      <w:bookmarkStart w:id="93" w:name="_Toc21678644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A14E11">
        <w:t xml:space="preserve">GT Leasing </w:t>
      </w:r>
      <w:r>
        <w:t>Traffic Routing Options</w:t>
      </w:r>
      <w:bookmarkEnd w:id="91"/>
      <w:bookmarkEnd w:id="92"/>
      <w:bookmarkEnd w:id="93"/>
    </w:p>
    <w:p w14:paraId="042B11FA" w14:textId="77777777" w:rsidR="005841D0" w:rsidRDefault="005841D0" w:rsidP="005841D0">
      <w:pPr>
        <w:pStyle w:val="NormalParagraph"/>
        <w:rPr>
          <w:lang w:eastAsia="en-US" w:bidi="bn-BD"/>
        </w:rPr>
      </w:pPr>
      <w:r>
        <w:rPr>
          <w:lang w:eastAsia="en-US" w:bidi="bn-BD"/>
        </w:rPr>
        <w:t>There are two potential scenarios with respect to how signalling traffic is routed to the GT Lessee.</w:t>
      </w:r>
    </w:p>
    <w:p w14:paraId="035D5E91" w14:textId="10304104" w:rsidR="005841D0" w:rsidRDefault="005841D0" w:rsidP="00D8729B">
      <w:pPr>
        <w:pStyle w:val="ListBullet1"/>
        <w:numPr>
          <w:ilvl w:val="0"/>
          <w:numId w:val="47"/>
        </w:numPr>
        <w:ind w:hanging="436"/>
        <w:contextualSpacing w:val="0"/>
      </w:pPr>
      <w:r>
        <w:rPr>
          <w:b/>
          <w:bCs/>
        </w:rPr>
        <w:t xml:space="preserve">Routing via Lessor </w:t>
      </w:r>
      <w:r>
        <w:t xml:space="preserve">- in this </w:t>
      </w:r>
      <w:r w:rsidRPr="00B22BD0">
        <w:t>case</w:t>
      </w:r>
      <w:r w:rsidR="00143EBD">
        <w:t>,</w:t>
      </w:r>
      <w:r w:rsidRPr="00B22BD0">
        <w:t xml:space="preserve"> signalling traffic is routed </w:t>
      </w:r>
      <w:r>
        <w:t xml:space="preserve">to </w:t>
      </w:r>
      <w:r w:rsidRPr="00B22BD0">
        <w:t xml:space="preserve">the GT Lessee via the GT </w:t>
      </w:r>
      <w:r>
        <w:t>L</w:t>
      </w:r>
      <w:r w:rsidRPr="00B22BD0">
        <w:t>essor’s network</w:t>
      </w:r>
      <w:r>
        <w:t>; and</w:t>
      </w:r>
      <w:r w:rsidRPr="00B22BD0">
        <w:t xml:space="preserve"> </w:t>
      </w:r>
    </w:p>
    <w:p w14:paraId="3001A3BD" w14:textId="417EDB61" w:rsidR="005841D0" w:rsidRDefault="005841D0" w:rsidP="00D8729B">
      <w:pPr>
        <w:pStyle w:val="ListBullet1"/>
        <w:numPr>
          <w:ilvl w:val="0"/>
          <w:numId w:val="47"/>
        </w:numPr>
        <w:ind w:hanging="436"/>
        <w:contextualSpacing w:val="0"/>
      </w:pPr>
      <w:r>
        <w:rPr>
          <w:b/>
          <w:bCs/>
        </w:rPr>
        <w:t xml:space="preserve">Routing via Lessee Only </w:t>
      </w:r>
      <w:r>
        <w:t>– in this case</w:t>
      </w:r>
      <w:r w:rsidR="005B3581">
        <w:t>,</w:t>
      </w:r>
      <w:r>
        <w:t xml:space="preserve"> signalling traffic is routed without passing through the GT Lessor’s network. This means that traffic to or from the GT Lessee is routed directly to/from them via the Transit </w:t>
      </w:r>
      <w:r>
        <w:rPr>
          <w:lang w:eastAsia="en-US" w:bidi="bn-BD"/>
        </w:rPr>
        <w:t>Carrier</w:t>
      </w:r>
      <w:r>
        <w:t>.</w:t>
      </w:r>
    </w:p>
    <w:p w14:paraId="49F352F1" w14:textId="77777777" w:rsidR="005841D0" w:rsidRDefault="005841D0" w:rsidP="005841D0">
      <w:pPr>
        <w:pStyle w:val="Heading2"/>
      </w:pPr>
      <w:bookmarkStart w:id="94" w:name="_Toc85405247"/>
      <w:bookmarkStart w:id="95" w:name="_Toc216786448"/>
      <w:r>
        <w:lastRenderedPageBreak/>
        <w:t>Routing via Lessor</w:t>
      </w:r>
      <w:bookmarkEnd w:id="94"/>
      <w:bookmarkEnd w:id="95"/>
    </w:p>
    <w:p w14:paraId="16C1B3C1" w14:textId="77777777" w:rsidR="005841D0" w:rsidRPr="003F0092" w:rsidRDefault="005841D0" w:rsidP="005841D0">
      <w:pPr>
        <w:pStyle w:val="NormalParagraph"/>
      </w:pPr>
      <w:r w:rsidRPr="00DB7FB6">
        <w:t>In this scenario</w:t>
      </w:r>
      <w:r>
        <w:t>,</w:t>
      </w:r>
      <w:r w:rsidRPr="00DB7FB6">
        <w:t xml:space="preserve"> the Transit Carrier has visibility of the traffic </w:t>
      </w:r>
      <w:r>
        <w:t xml:space="preserve">received </w:t>
      </w:r>
      <w:r w:rsidRPr="00DB7FB6">
        <w:t xml:space="preserve">from the </w:t>
      </w:r>
      <w:r>
        <w:t xml:space="preserve">GT </w:t>
      </w:r>
      <w:r w:rsidRPr="00DB7FB6">
        <w:t>Lessor’s network.</w:t>
      </w:r>
      <w:r w:rsidRPr="003F0092">
        <w:t xml:space="preserve"> This offers significant legal, commercial and technical advantages to the GT Lessor. By ensuring that all signalling traffic passes through the GT Lessor’s network </w:t>
      </w:r>
      <w:r>
        <w:t>it has</w:t>
      </w:r>
      <w:r w:rsidRPr="003F0092">
        <w:t xml:space="preserve"> full visibility of the traffic and can implement appropriate technical controls. Additionally, the</w:t>
      </w:r>
      <w:r>
        <w:t xml:space="preserve"> GT Lessor</w:t>
      </w:r>
      <w:r w:rsidRPr="003F0092">
        <w:t xml:space="preserve"> can monitor the traffic to ensure compliance with the </w:t>
      </w:r>
      <w:r w:rsidRPr="00651C7C">
        <w:t>relevant</w:t>
      </w:r>
      <w:r w:rsidRPr="003F0092">
        <w:t xml:space="preserve"> contractual, regulatory and legal obligations. However, for the GT Lessee, these advantages are the inverse</w:t>
      </w:r>
      <w:r>
        <w:t xml:space="preserve"> - </w:t>
      </w:r>
      <w:r w:rsidRPr="003F0092">
        <w:t xml:space="preserve">traffic routing and management becomes more complex, especially where </w:t>
      </w:r>
      <w:r>
        <w:t>The GT Lessee</w:t>
      </w:r>
      <w:r w:rsidRPr="003F0092">
        <w:t xml:space="preserve"> </w:t>
      </w:r>
      <w:r>
        <w:t xml:space="preserve">is </w:t>
      </w:r>
      <w:r w:rsidRPr="003F0092">
        <w:t>aggregating traffic from multiple different GT Lessors.</w:t>
      </w:r>
    </w:p>
    <w:p w14:paraId="2019C28A" w14:textId="77777777" w:rsidR="005841D0" w:rsidRDefault="005841D0" w:rsidP="005841D0">
      <w:pPr>
        <w:pStyle w:val="Centredtext"/>
      </w:pPr>
      <w:r w:rsidRPr="008B411B">
        <w:rPr>
          <w:noProof/>
          <w:lang w:eastAsia="en-GB" w:bidi="ar-SA"/>
        </w:rPr>
        <w:t xml:space="preserve"> </w:t>
      </w:r>
      <w:r>
        <w:rPr>
          <w:noProof/>
          <w:lang w:val="de-DE" w:eastAsia="de-DE" w:bidi="ar-SA"/>
        </w:rPr>
        <w:drawing>
          <wp:inline distT="0" distB="0" distL="0" distR="0" wp14:anchorId="10A4479C" wp14:editId="095BF09C">
            <wp:extent cx="4482531" cy="2971800"/>
            <wp:effectExtent l="0" t="0" r="0"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92824" cy="2978624"/>
                    </a:xfrm>
                    <a:prstGeom prst="rect">
                      <a:avLst/>
                    </a:prstGeom>
                  </pic:spPr>
                </pic:pic>
              </a:graphicData>
            </a:graphic>
          </wp:inline>
        </w:drawing>
      </w:r>
      <w:r w:rsidRPr="008B411B">
        <w:t xml:space="preserve"> </w:t>
      </w:r>
    </w:p>
    <w:p w14:paraId="1748F04B" w14:textId="77777777" w:rsidR="005841D0" w:rsidRDefault="005841D0" w:rsidP="005841D0">
      <w:pPr>
        <w:pStyle w:val="Figurecaption"/>
      </w:pPr>
      <w:r>
        <w:t xml:space="preserve"> </w:t>
      </w:r>
      <w:bookmarkStart w:id="96" w:name="_Ref117509747"/>
      <w:r>
        <w:t>– Routing via Lessor</w:t>
      </w:r>
      <w:bookmarkEnd w:id="96"/>
    </w:p>
    <w:p w14:paraId="64371DA6" w14:textId="77777777" w:rsidR="005841D0" w:rsidRPr="008E40E5" w:rsidRDefault="005841D0" w:rsidP="005841D0">
      <w:pPr>
        <w:pStyle w:val="NormalParagraph"/>
      </w:pPr>
      <w:r>
        <w:fldChar w:fldCharType="begin"/>
      </w:r>
      <w:r>
        <w:instrText xml:space="preserve"> REF _Ref117509747 \r \h </w:instrText>
      </w:r>
      <w:r>
        <w:fldChar w:fldCharType="separate"/>
      </w:r>
      <w:r>
        <w:t>Figure 1</w:t>
      </w:r>
      <w:r>
        <w:fldChar w:fldCharType="end"/>
      </w:r>
      <w:r>
        <w:t xml:space="preserve"> above illustrates the high-level signalling flow </w:t>
      </w:r>
      <w:r w:rsidRPr="008E40E5">
        <w:t>as follows:</w:t>
      </w:r>
    </w:p>
    <w:p w14:paraId="3179502F" w14:textId="65F7AE82" w:rsidR="005841D0" w:rsidRPr="00F04BD7" w:rsidRDefault="001901DE" w:rsidP="007F590F">
      <w:pPr>
        <w:pStyle w:val="ListBullet1"/>
        <w:numPr>
          <w:ilvl w:val="0"/>
          <w:numId w:val="29"/>
        </w:numPr>
        <w:contextualSpacing w:val="0"/>
      </w:pPr>
      <w:r>
        <w:t>T</w:t>
      </w:r>
      <w:r w:rsidR="005841D0" w:rsidRPr="00F04BD7">
        <w:t xml:space="preserve">raffic originates from the GT Sub-Lessee/GT Lessee. For simplicity, the Sub-Lessee has not been included in the diagram. </w:t>
      </w:r>
    </w:p>
    <w:p w14:paraId="1605DD9D" w14:textId="69EE92B5" w:rsidR="005841D0" w:rsidRPr="00F04BD7" w:rsidRDefault="001901DE" w:rsidP="007F590F">
      <w:pPr>
        <w:pStyle w:val="ListBullet1"/>
        <w:numPr>
          <w:ilvl w:val="0"/>
          <w:numId w:val="29"/>
        </w:numPr>
        <w:contextualSpacing w:val="0"/>
      </w:pPr>
      <w:r>
        <w:t>T</w:t>
      </w:r>
      <w:r w:rsidR="005841D0" w:rsidRPr="00F04BD7">
        <w:t>raffic is sent using the GT Lessor network.</w:t>
      </w:r>
    </w:p>
    <w:p w14:paraId="7A138EE6" w14:textId="007F0FA9" w:rsidR="005841D0" w:rsidRPr="00F04BD7" w:rsidRDefault="001901DE" w:rsidP="007F590F">
      <w:pPr>
        <w:pStyle w:val="ListBullet1"/>
        <w:numPr>
          <w:ilvl w:val="0"/>
          <w:numId w:val="29"/>
        </w:numPr>
        <w:contextualSpacing w:val="0"/>
      </w:pPr>
      <w:r>
        <w:t>T</w:t>
      </w:r>
      <w:r w:rsidR="005841D0" w:rsidRPr="00F04BD7">
        <w:t>he Target Operator receives the traffic. Here</w:t>
      </w:r>
      <w:r w:rsidR="00204748">
        <w:t>,</w:t>
      </w:r>
      <w:r w:rsidR="005841D0" w:rsidRPr="00F04BD7">
        <w:t xml:space="preserve"> the Target Operator may be the subscriber’s home network or roaming partner in case the subscriber is roaming.</w:t>
      </w:r>
    </w:p>
    <w:p w14:paraId="5B5DF69A" w14:textId="25887B12" w:rsidR="005841D0" w:rsidRPr="00F04BD7" w:rsidRDefault="001901DE" w:rsidP="007F590F">
      <w:pPr>
        <w:pStyle w:val="ListBullet1"/>
        <w:numPr>
          <w:ilvl w:val="0"/>
          <w:numId w:val="29"/>
        </w:numPr>
        <w:contextualSpacing w:val="0"/>
      </w:pPr>
      <w:r>
        <w:t>T</w:t>
      </w:r>
      <w:r w:rsidR="005841D0" w:rsidRPr="00F04BD7">
        <w:t>he Target Operator responds to the message</w:t>
      </w:r>
    </w:p>
    <w:p w14:paraId="3ECA6543" w14:textId="7FE62F9D" w:rsidR="005841D0" w:rsidRDefault="001901DE" w:rsidP="007F590F">
      <w:pPr>
        <w:pStyle w:val="ListBullet1"/>
        <w:numPr>
          <w:ilvl w:val="0"/>
          <w:numId w:val="29"/>
        </w:numPr>
        <w:contextualSpacing w:val="0"/>
      </w:pPr>
      <w:r>
        <w:t>T</w:t>
      </w:r>
      <w:r w:rsidR="005841D0" w:rsidRPr="00F04BD7">
        <w:t>he Transit Carrier delivers the response back to the GT Sub-lessee/Lessee via the GT Lessor</w:t>
      </w:r>
      <w:r w:rsidR="00204748">
        <w:t>’s</w:t>
      </w:r>
      <w:r w:rsidR="005841D0" w:rsidRPr="00F04BD7">
        <w:t xml:space="preserve"> Network.</w:t>
      </w:r>
    </w:p>
    <w:p w14:paraId="759B83B8" w14:textId="77777777" w:rsidR="005841D0" w:rsidRPr="008E40E5" w:rsidRDefault="005841D0" w:rsidP="005841D0">
      <w:pPr>
        <w:pStyle w:val="NormalParagraph"/>
      </w:pPr>
      <w:r w:rsidRPr="00F04BD7">
        <w:t xml:space="preserve">A more complete diagram is included in </w:t>
      </w:r>
      <w:r>
        <w:fldChar w:fldCharType="begin"/>
      </w:r>
      <w:r>
        <w:instrText xml:space="preserve"> REF _Ref117509799 \r \h </w:instrText>
      </w:r>
      <w:r>
        <w:fldChar w:fldCharType="separate"/>
      </w:r>
      <w:r>
        <w:t>Annex A</w:t>
      </w:r>
      <w:r>
        <w:fldChar w:fldCharType="end"/>
      </w:r>
      <w:r w:rsidRPr="00F04BD7">
        <w:t xml:space="preserve"> illustrating the signalling flow together with illustrative calling and called addresses and point codes.</w:t>
      </w:r>
    </w:p>
    <w:p w14:paraId="6A191583" w14:textId="77777777" w:rsidR="005841D0" w:rsidRDefault="005841D0" w:rsidP="005841D0">
      <w:pPr>
        <w:pStyle w:val="Heading2"/>
      </w:pPr>
      <w:bookmarkStart w:id="97" w:name="_Toc88567043"/>
      <w:bookmarkStart w:id="98" w:name="_Toc85405248"/>
      <w:bookmarkStart w:id="99" w:name="_Toc216786449"/>
      <w:bookmarkEnd w:id="97"/>
      <w:r>
        <w:lastRenderedPageBreak/>
        <w:t>Routing via Lessee Only</w:t>
      </w:r>
      <w:bookmarkEnd w:id="98"/>
      <w:bookmarkEnd w:id="99"/>
    </w:p>
    <w:p w14:paraId="5F5B438A" w14:textId="77777777" w:rsidR="005841D0" w:rsidRDefault="005841D0" w:rsidP="005841D0">
      <w:pPr>
        <w:pStyle w:val="NormalParagraph"/>
      </w:pPr>
      <w:bookmarkStart w:id="100" w:name="_Hlk109572106"/>
      <w:r w:rsidRPr="00B011EB">
        <w:t>In this scenario</w:t>
      </w:r>
      <w:r>
        <w:t>,</w:t>
      </w:r>
      <w:r w:rsidRPr="00B011EB">
        <w:t xml:space="preserve"> the Transit Carrier will </w:t>
      </w:r>
      <w:r>
        <w:t>have visibility of</w:t>
      </w:r>
      <w:r w:rsidRPr="00B011EB">
        <w:t xml:space="preserve"> the traffic </w:t>
      </w:r>
      <w:r>
        <w:t xml:space="preserve">originating </w:t>
      </w:r>
      <w:r w:rsidRPr="00B011EB">
        <w:t xml:space="preserve">from the </w:t>
      </w:r>
      <w:r>
        <w:t xml:space="preserve">GT </w:t>
      </w:r>
      <w:r w:rsidRPr="00B011EB">
        <w:t>Lessee’s network, albeit the calling GT indicates</w:t>
      </w:r>
      <w:r>
        <w:t xml:space="preserve"> to all subsequent recipients of the traffic that</w:t>
      </w:r>
      <w:r w:rsidRPr="00B011EB">
        <w:t xml:space="preserve"> the traffic originated from the </w:t>
      </w:r>
      <w:r>
        <w:t xml:space="preserve">GT </w:t>
      </w:r>
      <w:r w:rsidRPr="00B011EB">
        <w:t>Lessor network</w:t>
      </w:r>
      <w:r>
        <w:t xml:space="preserve"> even though this is not the case</w:t>
      </w:r>
      <w:r w:rsidRPr="00B011EB">
        <w:t>.</w:t>
      </w:r>
      <w:r>
        <w:t xml:space="preserve"> </w:t>
      </w:r>
    </w:p>
    <w:p w14:paraId="4B3AF620" w14:textId="77777777" w:rsidR="005841D0" w:rsidRDefault="005841D0" w:rsidP="005841D0">
      <w:pPr>
        <w:pStyle w:val="NormalParagraph"/>
      </w:pPr>
      <w:r>
        <w:t xml:space="preserve">This approach offers the GT Lessee significant advantages, as it can avoid any kind of scrutiny by the GT Lessor of the traffic it is sending and receiving, and it has the benefit of more direct access to the signalling traffic. This allows the GT Lessee the flexibility to select its own Transit Carriers and set its own commercial rates, which could disadvantage the GT Lessor. Typically, the Transit Carrier (and other Transit Carriers in the signalling path) will require the GT Lessee to provide </w:t>
      </w:r>
      <w:r w:rsidRPr="00A14E11">
        <w:t xml:space="preserve">a </w:t>
      </w:r>
      <w:r>
        <w:t>“L</w:t>
      </w:r>
      <w:r w:rsidRPr="00A14E11">
        <w:t xml:space="preserve">etter of </w:t>
      </w:r>
      <w:r>
        <w:t>A</w:t>
      </w:r>
      <w:r w:rsidRPr="00A14E11">
        <w:t>uthority</w:t>
      </w:r>
      <w:r>
        <w:t>”</w:t>
      </w:r>
      <w:r w:rsidRPr="00A14E11">
        <w:t xml:space="preserve"> from the </w:t>
      </w:r>
      <w:r w:rsidRPr="00C303B9">
        <w:t xml:space="preserve">GT Lessor confirming </w:t>
      </w:r>
      <w:r>
        <w:t>that the GT Lessee has authorisation to use the GT and therefore to receive the traffic directly.</w:t>
      </w:r>
    </w:p>
    <w:bookmarkEnd w:id="100"/>
    <w:p w14:paraId="3001002B" w14:textId="77777777" w:rsidR="005841D0" w:rsidRDefault="005841D0" w:rsidP="005841D0">
      <w:pPr>
        <w:pStyle w:val="Centredtext"/>
      </w:pPr>
      <w:r w:rsidRPr="008B043E">
        <w:rPr>
          <w:noProof/>
          <w:lang w:eastAsia="en-GB" w:bidi="ar-SA"/>
        </w:rPr>
        <w:t xml:space="preserve"> </w:t>
      </w:r>
      <w:r>
        <w:rPr>
          <w:noProof/>
          <w:lang w:val="de-DE" w:eastAsia="de-DE" w:bidi="ar-SA"/>
        </w:rPr>
        <w:drawing>
          <wp:inline distT="0" distB="0" distL="0" distR="0" wp14:anchorId="272A4858" wp14:editId="1C26303D">
            <wp:extent cx="4724278" cy="2933700"/>
            <wp:effectExtent l="0" t="0" r="63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735820" cy="2940868"/>
                    </a:xfrm>
                    <a:prstGeom prst="rect">
                      <a:avLst/>
                    </a:prstGeom>
                  </pic:spPr>
                </pic:pic>
              </a:graphicData>
            </a:graphic>
          </wp:inline>
        </w:drawing>
      </w:r>
    </w:p>
    <w:p w14:paraId="31704398" w14:textId="77777777" w:rsidR="005841D0" w:rsidRDefault="005841D0" w:rsidP="005841D0">
      <w:pPr>
        <w:pStyle w:val="Figurecaption"/>
      </w:pPr>
      <w:r>
        <w:t xml:space="preserve"> </w:t>
      </w:r>
      <w:bookmarkStart w:id="101" w:name="_Ref117509861"/>
      <w:r>
        <w:t>– Routing via Lessee Only</w:t>
      </w:r>
      <w:bookmarkEnd w:id="101"/>
      <w:r>
        <w:t xml:space="preserve"> </w:t>
      </w:r>
    </w:p>
    <w:p w14:paraId="3ADDED1E" w14:textId="77777777" w:rsidR="005841D0" w:rsidRDefault="005841D0" w:rsidP="005841D0">
      <w:pPr>
        <w:pStyle w:val="NormalParagraph"/>
      </w:pPr>
      <w:r>
        <w:fldChar w:fldCharType="begin"/>
      </w:r>
      <w:r>
        <w:instrText xml:space="preserve"> REF _Ref117509861 \r \h </w:instrText>
      </w:r>
      <w:r>
        <w:fldChar w:fldCharType="separate"/>
      </w:r>
      <w:r>
        <w:t>Figure 2</w:t>
      </w:r>
      <w:r>
        <w:fldChar w:fldCharType="end"/>
      </w:r>
      <w:r>
        <w:t xml:space="preserve"> above illustrates the high-level signalling flow as follows: </w:t>
      </w:r>
    </w:p>
    <w:p w14:paraId="6EDE7C00" w14:textId="30D670EB" w:rsidR="005841D0" w:rsidRPr="00B011EB" w:rsidRDefault="00943AF8" w:rsidP="00B57E50">
      <w:pPr>
        <w:pStyle w:val="ListBullet1"/>
        <w:numPr>
          <w:ilvl w:val="0"/>
          <w:numId w:val="33"/>
        </w:numPr>
        <w:contextualSpacing w:val="0"/>
      </w:pPr>
      <w:r>
        <w:t>T</w:t>
      </w:r>
      <w:r w:rsidR="005841D0" w:rsidRPr="008E40E5">
        <w:t>raffic originates from the GT Sub-Lessee/ Lessee</w:t>
      </w:r>
    </w:p>
    <w:p w14:paraId="6847FF9D" w14:textId="4E938A81" w:rsidR="005841D0" w:rsidRDefault="005841D0" w:rsidP="00B57E50">
      <w:pPr>
        <w:pStyle w:val="ListBullet1"/>
        <w:numPr>
          <w:ilvl w:val="0"/>
          <w:numId w:val="33"/>
        </w:numPr>
        <w:contextualSpacing w:val="0"/>
      </w:pPr>
      <w:r w:rsidRPr="00B011EB">
        <w:t>Target Operator receives the traffic</w:t>
      </w:r>
    </w:p>
    <w:p w14:paraId="1A84C417" w14:textId="4F5F9654" w:rsidR="00A45388" w:rsidRDefault="005841D0" w:rsidP="00B57E50">
      <w:pPr>
        <w:pStyle w:val="ListBullet1"/>
        <w:numPr>
          <w:ilvl w:val="0"/>
          <w:numId w:val="33"/>
        </w:numPr>
        <w:contextualSpacing w:val="0"/>
      </w:pPr>
      <w:r w:rsidRPr="008762E7">
        <w:t>Target Operator responds to the message</w:t>
      </w:r>
    </w:p>
    <w:p w14:paraId="2801E7F1" w14:textId="2A16ACE9" w:rsidR="005841D0" w:rsidRPr="00B011EB" w:rsidRDefault="005841D0" w:rsidP="00B57E50">
      <w:pPr>
        <w:pStyle w:val="ListBullet1"/>
        <w:numPr>
          <w:ilvl w:val="0"/>
          <w:numId w:val="33"/>
        </w:numPr>
        <w:contextualSpacing w:val="0"/>
      </w:pPr>
      <w:r>
        <w:t>T</w:t>
      </w:r>
      <w:r w:rsidRPr="00B011EB">
        <w:t xml:space="preserve">ransit </w:t>
      </w:r>
      <w:r>
        <w:t xml:space="preserve">Carrier </w:t>
      </w:r>
      <w:r w:rsidRPr="00B011EB">
        <w:t xml:space="preserve">routes the response back to the </w:t>
      </w:r>
      <w:r>
        <w:t xml:space="preserve">GT </w:t>
      </w:r>
      <w:r w:rsidRPr="00B011EB">
        <w:t>Lessee.</w:t>
      </w:r>
    </w:p>
    <w:p w14:paraId="6C2BE070" w14:textId="77777777" w:rsidR="005841D0" w:rsidRPr="008E40E5" w:rsidRDefault="005841D0" w:rsidP="005841D0">
      <w:pPr>
        <w:pStyle w:val="NormalParagraph"/>
      </w:pPr>
      <w:r w:rsidRPr="00DE3EAB">
        <w:t xml:space="preserve">A more complete diagram is included in </w:t>
      </w:r>
      <w:r>
        <w:fldChar w:fldCharType="begin"/>
      </w:r>
      <w:r>
        <w:instrText xml:space="preserve"> REF _Ref117509880 \r \h </w:instrText>
      </w:r>
      <w:r>
        <w:fldChar w:fldCharType="separate"/>
      </w:r>
      <w:r>
        <w:t>Annex A</w:t>
      </w:r>
      <w:r>
        <w:fldChar w:fldCharType="end"/>
      </w:r>
      <w:r w:rsidRPr="00DE3EAB">
        <w:t xml:space="preserve"> illustrating the signalling flow together with illustrative calling and called addresses and point codes.</w:t>
      </w:r>
    </w:p>
    <w:p w14:paraId="6A4E2B5C" w14:textId="77777777" w:rsidR="005841D0" w:rsidRDefault="005841D0" w:rsidP="005841D0">
      <w:pPr>
        <w:pStyle w:val="NormalParagraph"/>
      </w:pPr>
      <w:r w:rsidRPr="00B011EB">
        <w:t xml:space="preserve">Note that in this scenario the GT Lessor plays </w:t>
      </w:r>
      <w:r>
        <w:t>a significantly diminished</w:t>
      </w:r>
      <w:r w:rsidRPr="00B011EB">
        <w:t xml:space="preserve"> role</w:t>
      </w:r>
      <w:r>
        <w:t xml:space="preserve"> and has no visibility of traffic </w:t>
      </w:r>
      <w:r w:rsidRPr="00DB7FB6">
        <w:t xml:space="preserve">originating </w:t>
      </w:r>
      <w:r>
        <w:t xml:space="preserve">from or terminating to </w:t>
      </w:r>
      <w:r w:rsidRPr="00DB7FB6">
        <w:t xml:space="preserve">the </w:t>
      </w:r>
      <w:r>
        <w:t xml:space="preserve">GT </w:t>
      </w:r>
      <w:r w:rsidRPr="00DB7FB6">
        <w:t>Less</w:t>
      </w:r>
      <w:r>
        <w:t>ee</w:t>
      </w:r>
      <w:r w:rsidRPr="00DB7FB6">
        <w:t>’s network</w:t>
      </w:r>
      <w:r w:rsidRPr="00B011EB">
        <w:t>.</w:t>
      </w:r>
      <w:r>
        <w:t xml:space="preserve"> As the GT Lessor is responsible and liable for all Global Titles assigned to </w:t>
      </w:r>
      <w:proofErr w:type="gramStart"/>
      <w:r>
        <w:t>it, and</w:t>
      </w:r>
      <w:proofErr w:type="gramEnd"/>
      <w:r>
        <w:t xml:space="preserve"> is responsible for ensuring the security of Global Title use to protect both the GT Lessor and the Target </w:t>
      </w:r>
      <w:r>
        <w:lastRenderedPageBreak/>
        <w:t>Operators, Routing via Lessee Only should be discontinued because of the security and privacy risks the practice poses for mobile users.</w:t>
      </w:r>
    </w:p>
    <w:p w14:paraId="3B2CC662" w14:textId="77777777" w:rsidR="007C42C9" w:rsidRDefault="007C42C9" w:rsidP="007C42C9">
      <w:pPr>
        <w:pStyle w:val="Heading1"/>
      </w:pPr>
      <w:bookmarkStart w:id="102" w:name="_Toc204589521"/>
      <w:bookmarkStart w:id="103" w:name="_Toc216786450"/>
      <w:r>
        <w:t>Diameter End Point Address Leasing</w:t>
      </w:r>
      <w:bookmarkEnd w:id="102"/>
      <w:bookmarkEnd w:id="103"/>
    </w:p>
    <w:p w14:paraId="3FC3604A" w14:textId="77777777" w:rsidR="007C42C9" w:rsidRDefault="007C42C9" w:rsidP="007C42C9">
      <w:pPr>
        <w:pStyle w:val="Heading2"/>
      </w:pPr>
      <w:bookmarkStart w:id="104" w:name="_Toc204589522"/>
      <w:bookmarkStart w:id="105" w:name="_Toc216786451"/>
      <w:r>
        <w:t>Introduction to Diameter End Point Addresses</w:t>
      </w:r>
      <w:bookmarkEnd w:id="104"/>
      <w:bookmarkEnd w:id="105"/>
    </w:p>
    <w:p w14:paraId="4551C3AF" w14:textId="6AA45674" w:rsidR="007C42C9" w:rsidRDefault="007C42C9" w:rsidP="007C42C9">
      <w:pPr>
        <w:pStyle w:val="NormalParagraph"/>
        <w:rPr>
          <w:lang w:eastAsia="en-US" w:bidi="bn-BD"/>
        </w:rPr>
      </w:pPr>
      <w:r>
        <w:rPr>
          <w:lang w:eastAsia="en-US" w:bidi="bn-BD"/>
        </w:rPr>
        <w:t>The Diameter protocol is used to support 4G services, including roaming. Diameter Hosts and Realms are unique addresses, used for the transmission and reception of Diameter messages.</w:t>
      </w:r>
    </w:p>
    <w:p w14:paraId="0D550A28" w14:textId="23EBC586" w:rsidR="007C42C9" w:rsidRDefault="007C42C9" w:rsidP="007C42C9">
      <w:pPr>
        <w:spacing w:after="160" w:line="278" w:lineRule="auto"/>
        <w:jc w:val="left"/>
      </w:pPr>
      <w:r>
        <w:t>Diameter signalling is routed to realms that are assigned to MNOs. Within an MNO, individual network elements related to Diameter traffic have a Diameter host address. Those resources are either used by the MNO to support its own services or to support services provided by its MVNO customers or its roaming partners.</w:t>
      </w:r>
    </w:p>
    <w:p w14:paraId="12735403" w14:textId="77777777" w:rsidR="007C42C9" w:rsidRPr="00A64371" w:rsidRDefault="007C42C9" w:rsidP="007C42C9">
      <w:pPr>
        <w:pStyle w:val="Heading2"/>
      </w:pPr>
      <w:bookmarkStart w:id="106" w:name="_Toc204589523"/>
      <w:bookmarkStart w:id="107" w:name="_Toc216786452"/>
      <w:r w:rsidRPr="00A64371">
        <w:t>What is Diameter End Point Address Leasing?</w:t>
      </w:r>
      <w:bookmarkEnd w:id="106"/>
      <w:bookmarkEnd w:id="107"/>
    </w:p>
    <w:p w14:paraId="2EE4FC72" w14:textId="26C55E3A" w:rsidR="007C42C9" w:rsidRPr="003B6E5A" w:rsidRDefault="007C42C9" w:rsidP="007C42C9">
      <w:pPr>
        <w:spacing w:after="160" w:line="278" w:lineRule="auto"/>
        <w:jc w:val="left"/>
      </w:pPr>
      <w:r w:rsidRPr="00FE64D8">
        <w:t xml:space="preserve">For the purposes of this document, DEPA Leasing </w:t>
      </w:r>
      <w:proofErr w:type="gramStart"/>
      <w:r w:rsidRPr="00FE64D8">
        <w:t>is considered to be</w:t>
      </w:r>
      <w:proofErr w:type="gramEnd"/>
      <w:r w:rsidRPr="00FE64D8">
        <w:t xml:space="preserve"> exclusively the provision of DEPAs to a third party, subject to a contractual relationship, whereby a Lessee is assigned permission to use a DEPA by the Lessor.</w:t>
      </w:r>
    </w:p>
    <w:p w14:paraId="21B56FB7" w14:textId="77777777" w:rsidR="007C42C9" w:rsidRDefault="007C42C9" w:rsidP="007C42C9">
      <w:pPr>
        <w:pStyle w:val="Heading2"/>
      </w:pPr>
      <w:bookmarkStart w:id="108" w:name="_Toc204589524"/>
      <w:bookmarkStart w:id="109" w:name="_Toc216786453"/>
      <w:r>
        <w:t>Issues and Concerns</w:t>
      </w:r>
      <w:r w:rsidDel="006A663D">
        <w:t xml:space="preserve"> </w:t>
      </w:r>
      <w:r>
        <w:t>with Diameter End Point Address Leasing</w:t>
      </w:r>
      <w:bookmarkEnd w:id="108"/>
      <w:bookmarkEnd w:id="109"/>
    </w:p>
    <w:p w14:paraId="488B9233" w14:textId="76659504" w:rsidR="007C42C9" w:rsidRDefault="007C42C9" w:rsidP="007C42C9">
      <w:pPr>
        <w:pStyle w:val="NormalParagraph"/>
        <w:rPr>
          <w:lang w:eastAsia="en-US" w:bidi="bn-BD"/>
        </w:rPr>
      </w:pPr>
      <w:r w:rsidRPr="00DB20CA">
        <w:rPr>
          <w:lang w:eastAsia="en-US" w:bidi="bn-BD"/>
        </w:rPr>
        <w:t xml:space="preserve">With the exception of roaming enablement services, as defined in PRDs BA.21 </w:t>
      </w:r>
      <w:r w:rsidRPr="00DB20CA">
        <w:fldChar w:fldCharType="begin"/>
      </w:r>
      <w:r w:rsidRPr="00DB20CA">
        <w:instrText xml:space="preserve"> REF _Ref193198115 \r \h  \* MERGEFORMAT </w:instrText>
      </w:r>
      <w:r w:rsidRPr="00DB20CA">
        <w:fldChar w:fldCharType="separate"/>
      </w:r>
      <w:r w:rsidRPr="00DB20CA">
        <w:t>[8]</w:t>
      </w:r>
      <w:r w:rsidRPr="00DB20CA">
        <w:fldChar w:fldCharType="end"/>
      </w:r>
      <w:r w:rsidRPr="00DB20CA">
        <w:rPr>
          <w:lang w:eastAsia="en-US" w:bidi="bn-BD"/>
        </w:rPr>
        <w:t xml:space="preserve"> and BA.23 </w:t>
      </w:r>
      <w:r w:rsidRPr="00DB20CA">
        <w:fldChar w:fldCharType="begin"/>
      </w:r>
      <w:r w:rsidRPr="00DB20CA">
        <w:instrText xml:space="preserve"> REF _Ref193198115 \r \h  \* MERGEFORMAT </w:instrText>
      </w:r>
      <w:r w:rsidRPr="00DB20CA">
        <w:fldChar w:fldCharType="separate"/>
      </w:r>
      <w:r w:rsidRPr="00DB20CA">
        <w:t>[9]</w:t>
      </w:r>
      <w:r w:rsidRPr="00DB20CA">
        <w:fldChar w:fldCharType="end"/>
      </w:r>
      <w:r w:rsidRPr="00DB20CA">
        <w:rPr>
          <w:lang w:eastAsia="en-US" w:bidi="bn-BD"/>
        </w:rPr>
        <w:t xml:space="preserve">, there are no known legitimate </w:t>
      </w:r>
      <w:r w:rsidR="00074C87">
        <w:rPr>
          <w:lang w:eastAsia="en-US" w:bidi="bn-BD"/>
        </w:rPr>
        <w:t xml:space="preserve">use </w:t>
      </w:r>
      <w:r w:rsidRPr="00DB20CA">
        <w:rPr>
          <w:lang w:eastAsia="en-US" w:bidi="bn-BD"/>
        </w:rPr>
        <w:t>cases of DEPA Leasing. Attacks using Diameter are widely documented and logically, these can only be conducted by either the MNO that originates the traffic or by a party that has access to that MNO’s DEPAs.</w:t>
      </w:r>
      <w:r>
        <w:rPr>
          <w:lang w:eastAsia="en-US" w:bidi="bn-BD"/>
        </w:rPr>
        <w:t xml:space="preserve"> </w:t>
      </w:r>
    </w:p>
    <w:p w14:paraId="2D749CC0" w14:textId="77777777" w:rsidR="007C42C9" w:rsidRDefault="007C42C9" w:rsidP="007C42C9">
      <w:pPr>
        <w:pStyle w:val="NormalParagraph"/>
        <w:rPr>
          <w:lang w:eastAsia="en-US" w:bidi="bn-BD"/>
        </w:rPr>
      </w:pPr>
      <w:r>
        <w:rPr>
          <w:lang w:eastAsia="en-US" w:bidi="bn-BD"/>
        </w:rPr>
        <w:t xml:space="preserve">It is accepted that a proportion of Diameter attacks may originate from the MNO that owns the DEPAs. However, given evidence of attacks that are coordinated across multiple MNO DEPAs, </w:t>
      </w:r>
      <w:proofErr w:type="gramStart"/>
      <w:r>
        <w:rPr>
          <w:lang w:eastAsia="en-US" w:bidi="bn-BD"/>
        </w:rPr>
        <w:t>it is clear that attacks</w:t>
      </w:r>
      <w:proofErr w:type="gramEnd"/>
      <w:r>
        <w:rPr>
          <w:lang w:eastAsia="en-US" w:bidi="bn-BD"/>
        </w:rPr>
        <w:t xml:space="preserve"> are also originated by parties that have third party access to MNO DEPAs.</w:t>
      </w:r>
    </w:p>
    <w:p w14:paraId="6DAE2CA4" w14:textId="77777777" w:rsidR="007C42C9" w:rsidRDefault="007C42C9" w:rsidP="007C42C9">
      <w:pPr>
        <w:pStyle w:val="Heading2"/>
      </w:pPr>
      <w:bookmarkStart w:id="110" w:name="_Toc204589525"/>
      <w:bookmarkStart w:id="111" w:name="_Toc216786454"/>
      <w:r>
        <w:t>Conclusion on Diameter End Point Address Leasing</w:t>
      </w:r>
      <w:bookmarkEnd w:id="110"/>
      <w:bookmarkEnd w:id="111"/>
    </w:p>
    <w:p w14:paraId="444D2D8D" w14:textId="4C0F50F0" w:rsidR="0048697B" w:rsidRDefault="007C42C9" w:rsidP="005841D0">
      <w:pPr>
        <w:pStyle w:val="NormalParagraph"/>
        <w:rPr>
          <w:lang w:eastAsia="en-US" w:bidi="bn-BD"/>
        </w:rPr>
      </w:pPr>
      <w:r>
        <w:rPr>
          <w:lang w:eastAsia="en-US" w:bidi="bn-BD"/>
        </w:rPr>
        <w:t xml:space="preserve">In the absence of any justifiable use case for DEPA Leasing, other than those outside the scope of this document, this activity should not be undertaken. The </w:t>
      </w:r>
      <w:r>
        <w:rPr>
          <w:lang w:eastAsia="en-US" w:bidi="bn-BD"/>
        </w:rPr>
        <w:fldChar w:fldCharType="begin"/>
      </w:r>
      <w:r>
        <w:rPr>
          <w:lang w:eastAsia="en-US" w:bidi="bn-BD"/>
        </w:rPr>
        <w:instrText xml:space="preserve"> REF _Ref85404105 \h </w:instrText>
      </w:r>
      <w:r>
        <w:rPr>
          <w:lang w:eastAsia="en-US" w:bidi="bn-BD"/>
        </w:rPr>
      </w:r>
      <w:r>
        <w:rPr>
          <w:lang w:eastAsia="en-US" w:bidi="bn-BD"/>
        </w:rPr>
        <w:fldChar w:fldCharType="separate"/>
      </w:r>
      <w:r>
        <w:t>Global Title and Diameter End Point Address Leasing Code of Conduct</w:t>
      </w:r>
      <w:r>
        <w:rPr>
          <w:lang w:eastAsia="en-US" w:bidi="bn-BD"/>
        </w:rPr>
        <w:fldChar w:fldCharType="end"/>
      </w:r>
      <w:r>
        <w:rPr>
          <w:lang w:eastAsia="en-US" w:bidi="bn-BD"/>
        </w:rPr>
        <w:t xml:space="preserve"> in section </w:t>
      </w:r>
      <w:r>
        <w:rPr>
          <w:lang w:eastAsia="en-US" w:bidi="bn-BD"/>
        </w:rPr>
        <w:fldChar w:fldCharType="begin"/>
      </w:r>
      <w:r>
        <w:rPr>
          <w:lang w:eastAsia="en-US" w:bidi="bn-BD"/>
        </w:rPr>
        <w:instrText xml:space="preserve"> REF _Ref85404105 \n \h </w:instrText>
      </w:r>
      <w:r>
        <w:rPr>
          <w:lang w:eastAsia="en-US" w:bidi="bn-BD"/>
        </w:rPr>
      </w:r>
      <w:r>
        <w:rPr>
          <w:lang w:eastAsia="en-US" w:bidi="bn-BD"/>
        </w:rPr>
        <w:fldChar w:fldCharType="separate"/>
      </w:r>
      <w:r>
        <w:rPr>
          <w:lang w:eastAsia="en-US" w:bidi="bn-BD"/>
        </w:rPr>
        <w:t>6</w:t>
      </w:r>
      <w:r>
        <w:rPr>
          <w:lang w:eastAsia="en-US" w:bidi="bn-BD"/>
        </w:rPr>
        <w:fldChar w:fldCharType="end"/>
      </w:r>
      <w:r>
        <w:rPr>
          <w:lang w:eastAsia="en-US" w:bidi="bn-BD"/>
        </w:rPr>
        <w:t xml:space="preserve"> below prohibits DEPA Leasing.</w:t>
      </w:r>
    </w:p>
    <w:p w14:paraId="53E2603B" w14:textId="13BAA30A" w:rsidR="005841D0" w:rsidRDefault="005841D0" w:rsidP="005841D0">
      <w:pPr>
        <w:pStyle w:val="Heading1"/>
      </w:pPr>
      <w:bookmarkStart w:id="112" w:name="_Toc90562597"/>
      <w:bookmarkStart w:id="113" w:name="_Ref85404105"/>
      <w:bookmarkStart w:id="114" w:name="_Toc85405250"/>
      <w:bookmarkStart w:id="115" w:name="_Ref117509926"/>
      <w:bookmarkStart w:id="116" w:name="_Toc216786455"/>
      <w:bookmarkEnd w:id="112"/>
      <w:r>
        <w:t xml:space="preserve">Global Title </w:t>
      </w:r>
      <w:r w:rsidR="002335D5">
        <w:t xml:space="preserve">and Diameter </w:t>
      </w:r>
      <w:r w:rsidR="00B2154C">
        <w:t xml:space="preserve">End Point </w:t>
      </w:r>
      <w:r w:rsidR="006942D9">
        <w:t xml:space="preserve">Address </w:t>
      </w:r>
      <w:r>
        <w:t>Leasing Code of Conduct</w:t>
      </w:r>
      <w:bookmarkEnd w:id="113"/>
      <w:bookmarkEnd w:id="114"/>
      <w:bookmarkEnd w:id="115"/>
      <w:bookmarkEnd w:id="116"/>
    </w:p>
    <w:p w14:paraId="2E92A248" w14:textId="00D68B52" w:rsidR="005841D0" w:rsidRDefault="005841D0" w:rsidP="005841D0">
      <w:pPr>
        <w:pStyle w:val="NormalParagraph"/>
        <w:rPr>
          <w:lang w:eastAsia="en-US" w:bidi="bn-BD"/>
        </w:rPr>
      </w:pPr>
      <w:r w:rsidRPr="00A3043B">
        <w:rPr>
          <w:lang w:eastAsia="en-US" w:bidi="bn-BD"/>
        </w:rPr>
        <w:t xml:space="preserve">This </w:t>
      </w:r>
      <w:r>
        <w:rPr>
          <w:lang w:eastAsia="en-US" w:bidi="bn-BD"/>
        </w:rPr>
        <w:t>CoC</w:t>
      </w:r>
      <w:r w:rsidRPr="00951CFA">
        <w:rPr>
          <w:lang w:eastAsia="en-US" w:bidi="bn-BD"/>
        </w:rPr>
        <w:t xml:space="preserve"> </w:t>
      </w:r>
      <w:r>
        <w:rPr>
          <w:lang w:eastAsia="en-US" w:bidi="bn-BD"/>
        </w:rPr>
        <w:t xml:space="preserve">is </w:t>
      </w:r>
      <w:r w:rsidRPr="00627D15">
        <w:rPr>
          <w:lang w:eastAsia="en-US" w:bidi="bn-BD"/>
        </w:rPr>
        <w:t xml:space="preserve">aimed at </w:t>
      </w:r>
      <w:r w:rsidRPr="00A3043B">
        <w:rPr>
          <w:lang w:eastAsia="en-US" w:bidi="bn-BD"/>
        </w:rPr>
        <w:t xml:space="preserve">all </w:t>
      </w:r>
      <w:r w:rsidR="00D13833">
        <w:rPr>
          <w:lang w:eastAsia="en-US" w:bidi="bn-BD"/>
        </w:rPr>
        <w:t xml:space="preserve">DEPA Lessors, </w:t>
      </w:r>
      <w:r w:rsidRPr="00A3043B">
        <w:rPr>
          <w:lang w:eastAsia="en-US" w:bidi="bn-BD"/>
        </w:rPr>
        <w:t xml:space="preserve">GT Lessors </w:t>
      </w:r>
      <w:r>
        <w:rPr>
          <w:lang w:eastAsia="en-US" w:bidi="bn-BD"/>
        </w:rPr>
        <w:t>and/</w:t>
      </w:r>
      <w:r w:rsidRPr="00A3043B">
        <w:rPr>
          <w:lang w:eastAsia="en-US" w:bidi="bn-BD"/>
        </w:rPr>
        <w:t xml:space="preserve">or </w:t>
      </w:r>
      <w:r>
        <w:rPr>
          <w:lang w:eastAsia="en-US" w:bidi="bn-BD"/>
        </w:rPr>
        <w:t>Transit Carrier</w:t>
      </w:r>
      <w:r w:rsidRPr="00A3043B">
        <w:rPr>
          <w:lang w:eastAsia="en-US" w:bidi="bn-BD"/>
        </w:rPr>
        <w:t>s.</w:t>
      </w:r>
      <w:r>
        <w:rPr>
          <w:lang w:eastAsia="en-US" w:bidi="bn-BD"/>
        </w:rPr>
        <w:t xml:space="preserve"> </w:t>
      </w:r>
    </w:p>
    <w:p w14:paraId="4A687EBF" w14:textId="41AB86D4" w:rsidR="005841D0" w:rsidRDefault="005841D0" w:rsidP="005841D0">
      <w:pPr>
        <w:pStyle w:val="NormalParagraph"/>
        <w:rPr>
          <w:lang w:eastAsia="en-US" w:bidi="bn-BD"/>
        </w:rPr>
      </w:pPr>
      <w:r>
        <w:rPr>
          <w:lang w:eastAsia="en-US" w:bidi="bn-BD"/>
        </w:rPr>
        <w:t xml:space="preserve">All mandatory requirements are included in this section </w:t>
      </w:r>
      <w:r>
        <w:rPr>
          <w:lang w:eastAsia="en-US" w:bidi="bn-BD"/>
        </w:rPr>
        <w:fldChar w:fldCharType="begin"/>
      </w:r>
      <w:r>
        <w:rPr>
          <w:lang w:eastAsia="en-US" w:bidi="bn-BD"/>
        </w:rPr>
        <w:instrText xml:space="preserve"> REF _Ref117509926 \r \h </w:instrText>
      </w:r>
      <w:r>
        <w:rPr>
          <w:lang w:eastAsia="en-US" w:bidi="bn-BD"/>
        </w:rPr>
      </w:r>
      <w:r>
        <w:rPr>
          <w:lang w:eastAsia="en-US" w:bidi="bn-BD"/>
        </w:rPr>
        <w:fldChar w:fldCharType="separate"/>
      </w:r>
      <w:r w:rsidR="001F0489">
        <w:rPr>
          <w:lang w:eastAsia="en-US" w:bidi="bn-BD"/>
        </w:rPr>
        <w:t>6</w:t>
      </w:r>
      <w:r>
        <w:rPr>
          <w:lang w:eastAsia="en-US" w:bidi="bn-BD"/>
        </w:rPr>
        <w:fldChar w:fldCharType="end"/>
      </w:r>
      <w:r>
        <w:rPr>
          <w:lang w:eastAsia="en-US" w:bidi="bn-BD"/>
        </w:rPr>
        <w:t xml:space="preserve"> only. </w:t>
      </w:r>
      <w:r w:rsidRPr="00A3043B">
        <w:rPr>
          <w:lang w:eastAsia="en-US" w:bidi="bn-BD"/>
        </w:rPr>
        <w:t>GT Lessors</w:t>
      </w:r>
      <w:r>
        <w:rPr>
          <w:lang w:eastAsia="en-US" w:bidi="bn-BD"/>
        </w:rPr>
        <w:t>,</w:t>
      </w:r>
      <w:r w:rsidRPr="00A3043B">
        <w:rPr>
          <w:lang w:eastAsia="en-US" w:bidi="bn-BD"/>
        </w:rPr>
        <w:t xml:space="preserve"> by their very nature</w:t>
      </w:r>
      <w:r>
        <w:rPr>
          <w:lang w:eastAsia="en-US" w:bidi="bn-BD"/>
        </w:rPr>
        <w:t>,</w:t>
      </w:r>
      <w:r w:rsidRPr="00A3043B">
        <w:rPr>
          <w:lang w:eastAsia="en-US" w:bidi="bn-BD"/>
        </w:rPr>
        <w:t xml:space="preserve"> provide the critical numbering resource</w:t>
      </w:r>
      <w:r>
        <w:rPr>
          <w:lang w:eastAsia="en-US" w:bidi="bn-BD"/>
        </w:rPr>
        <w:t>s</w:t>
      </w:r>
      <w:r w:rsidRPr="00A3043B">
        <w:rPr>
          <w:lang w:eastAsia="en-US" w:bidi="bn-BD"/>
        </w:rPr>
        <w:t xml:space="preserve"> to </w:t>
      </w:r>
      <w:r>
        <w:rPr>
          <w:lang w:eastAsia="en-US" w:bidi="bn-BD"/>
        </w:rPr>
        <w:t>access</w:t>
      </w:r>
      <w:r w:rsidRPr="00A3043B">
        <w:rPr>
          <w:lang w:eastAsia="en-US" w:bidi="bn-BD"/>
        </w:rPr>
        <w:t xml:space="preserve"> the </w:t>
      </w:r>
      <w:r>
        <w:rPr>
          <w:lang w:eastAsia="en-US" w:bidi="bn-BD"/>
        </w:rPr>
        <w:t>SS7</w:t>
      </w:r>
      <w:r w:rsidRPr="00A3043B">
        <w:rPr>
          <w:lang w:eastAsia="en-US" w:bidi="bn-BD"/>
        </w:rPr>
        <w:t xml:space="preserve"> networks whilst </w:t>
      </w:r>
      <w:r>
        <w:rPr>
          <w:lang w:eastAsia="en-US" w:bidi="bn-BD"/>
        </w:rPr>
        <w:t>Transit Carrier</w:t>
      </w:r>
      <w:r w:rsidRPr="00A3043B">
        <w:rPr>
          <w:lang w:eastAsia="en-US" w:bidi="bn-BD"/>
        </w:rPr>
        <w:t>s typically enable th</w:t>
      </w:r>
      <w:r>
        <w:rPr>
          <w:lang w:eastAsia="en-US" w:bidi="bn-BD"/>
        </w:rPr>
        <w:t>e</w:t>
      </w:r>
      <w:r w:rsidRPr="00A3043B">
        <w:rPr>
          <w:lang w:eastAsia="en-US" w:bidi="bn-BD"/>
        </w:rPr>
        <w:t xml:space="preserve"> connectivity. As such, it is critical that these </w:t>
      </w:r>
      <w:r>
        <w:rPr>
          <w:lang w:eastAsia="en-US" w:bidi="bn-BD"/>
        </w:rPr>
        <w:t>ecosystem participants</w:t>
      </w:r>
      <w:r w:rsidRPr="00A3043B" w:rsidDel="009F4C05">
        <w:rPr>
          <w:lang w:eastAsia="en-US" w:bidi="bn-BD"/>
        </w:rPr>
        <w:t xml:space="preserve"> </w:t>
      </w:r>
      <w:r w:rsidRPr="00A3043B">
        <w:rPr>
          <w:lang w:eastAsia="en-US" w:bidi="bn-BD"/>
        </w:rPr>
        <w:t xml:space="preserve">adhere to this </w:t>
      </w:r>
      <w:r>
        <w:rPr>
          <w:lang w:eastAsia="en-US" w:bidi="bn-BD"/>
        </w:rPr>
        <w:t>CoC</w:t>
      </w:r>
      <w:r w:rsidRPr="00A3043B">
        <w:rPr>
          <w:lang w:eastAsia="en-US" w:bidi="bn-BD"/>
        </w:rPr>
        <w:t xml:space="preserve"> and all such players are strongly encouraged to fully adopt the recommendations </w:t>
      </w:r>
      <w:r>
        <w:rPr>
          <w:lang w:eastAsia="en-US" w:bidi="bn-BD"/>
        </w:rPr>
        <w:t>set out below</w:t>
      </w:r>
      <w:r w:rsidRPr="00A3043B">
        <w:rPr>
          <w:lang w:eastAsia="en-US" w:bidi="bn-BD"/>
        </w:rPr>
        <w:t xml:space="preserve">. </w:t>
      </w:r>
    </w:p>
    <w:p w14:paraId="25D33004" w14:textId="77777777" w:rsidR="005841D0" w:rsidRPr="00A3043B" w:rsidRDefault="005841D0" w:rsidP="005841D0">
      <w:pPr>
        <w:pStyle w:val="NormalParagraph"/>
        <w:rPr>
          <w:lang w:eastAsia="en-US" w:bidi="bn-BD"/>
        </w:rPr>
      </w:pPr>
      <w:r>
        <w:rPr>
          <w:lang w:eastAsia="en-US" w:bidi="bn-BD"/>
        </w:rPr>
        <w:lastRenderedPageBreak/>
        <w:t xml:space="preserve">Any party wishing to comply with this CoC should be aware that partial compliance with the requirements (i.e. statements using “SHALL”, “MUST” and/or “MUST NOT”, but not statements using “SHOULD” and/or “MAY”) is non-compliance and none of the requirements can be varied for any individual party. </w:t>
      </w:r>
    </w:p>
    <w:p w14:paraId="31E5DFFF" w14:textId="3A3CF2DA" w:rsidR="005841D0" w:rsidRPr="00A3043B" w:rsidRDefault="005841D0" w:rsidP="005841D0">
      <w:pPr>
        <w:pStyle w:val="NormalParagraph"/>
      </w:pPr>
      <w:r w:rsidRPr="00A3043B">
        <w:rPr>
          <w:lang w:eastAsia="en-US" w:bidi="bn-BD"/>
        </w:rPr>
        <w:t xml:space="preserve">Whilst </w:t>
      </w:r>
      <w:r w:rsidR="003C78F8">
        <w:rPr>
          <w:lang w:eastAsia="en-US" w:bidi="bn-BD"/>
        </w:rPr>
        <w:t xml:space="preserve">DEPA Assignees, </w:t>
      </w:r>
      <w:r w:rsidRPr="00A3043B">
        <w:rPr>
          <w:lang w:eastAsia="en-US" w:bidi="bn-BD"/>
        </w:rPr>
        <w:t xml:space="preserve">GT Assignees and Target Operators are not </w:t>
      </w:r>
      <w:r>
        <w:rPr>
          <w:lang w:eastAsia="en-US" w:bidi="bn-BD"/>
        </w:rPr>
        <w:t xml:space="preserve">directly </w:t>
      </w:r>
      <w:r w:rsidRPr="00A3043B">
        <w:rPr>
          <w:lang w:eastAsia="en-US" w:bidi="bn-BD"/>
        </w:rPr>
        <w:t xml:space="preserve">involved in </w:t>
      </w:r>
      <w:r>
        <w:rPr>
          <w:lang w:eastAsia="en-US" w:bidi="bn-BD"/>
        </w:rPr>
        <w:t>the act of</w:t>
      </w:r>
      <w:r w:rsidRPr="00A3043B">
        <w:rPr>
          <w:lang w:eastAsia="en-US" w:bidi="bn-BD"/>
        </w:rPr>
        <w:t xml:space="preserve"> GT </w:t>
      </w:r>
      <w:proofErr w:type="gramStart"/>
      <w:r w:rsidRPr="00A3043B">
        <w:rPr>
          <w:lang w:eastAsia="en-US" w:bidi="bn-BD"/>
        </w:rPr>
        <w:t>Leasing</w:t>
      </w:r>
      <w:r w:rsidR="00770BAA">
        <w:rPr>
          <w:lang w:eastAsia="en-US" w:bidi="bn-BD"/>
        </w:rPr>
        <w:t>,</w:t>
      </w:r>
      <w:r>
        <w:rPr>
          <w:lang w:eastAsia="en-US" w:bidi="bn-BD"/>
        </w:rPr>
        <w:t xml:space="preserve"> and</w:t>
      </w:r>
      <w:proofErr w:type="gramEnd"/>
      <w:r>
        <w:rPr>
          <w:lang w:eastAsia="en-US" w:bidi="bn-BD"/>
        </w:rPr>
        <w:t xml:space="preserve"> are not eligible to formally declare compliance with the CoC to the GSMA,</w:t>
      </w:r>
      <w:r w:rsidRPr="00A3043B">
        <w:rPr>
          <w:lang w:eastAsia="en-US" w:bidi="bn-BD"/>
        </w:rPr>
        <w:t xml:space="preserve"> they are nonetheless encouraged to </w:t>
      </w:r>
      <w:r>
        <w:rPr>
          <w:lang w:eastAsia="en-US" w:bidi="bn-BD"/>
        </w:rPr>
        <w:t xml:space="preserve">otherwise declare their support for </w:t>
      </w:r>
      <w:r w:rsidRPr="00A3043B">
        <w:rPr>
          <w:lang w:eastAsia="en-US" w:bidi="bn-BD"/>
        </w:rPr>
        <w:t xml:space="preserve">this </w:t>
      </w:r>
      <w:r>
        <w:rPr>
          <w:lang w:eastAsia="en-US" w:bidi="bn-BD"/>
        </w:rPr>
        <w:t>CoC to further encourage the adoption of best practice across the ecosystem</w:t>
      </w:r>
      <w:r w:rsidRPr="00A3043B">
        <w:rPr>
          <w:lang w:eastAsia="en-US" w:bidi="bn-BD"/>
        </w:rPr>
        <w:t xml:space="preserve">. </w:t>
      </w:r>
    </w:p>
    <w:p w14:paraId="5ACF0B9B" w14:textId="77777777" w:rsidR="005841D0" w:rsidRPr="003451A7" w:rsidRDefault="005841D0" w:rsidP="005841D0">
      <w:pPr>
        <w:pStyle w:val="Heading2"/>
        <w:rPr>
          <w:sz w:val="22"/>
          <w:szCs w:val="22"/>
        </w:rPr>
      </w:pPr>
      <w:bookmarkStart w:id="117" w:name="_Toc85405252"/>
      <w:bookmarkStart w:id="118" w:name="_Ref117512198"/>
      <w:bookmarkStart w:id="119" w:name="_Ref209283503"/>
      <w:bookmarkStart w:id="120" w:name="_Ref209286466"/>
      <w:bookmarkStart w:id="121" w:name="_Ref209286540"/>
      <w:bookmarkStart w:id="122" w:name="_Toc216786456"/>
      <w:r w:rsidRPr="003451A7">
        <w:rPr>
          <w:sz w:val="22"/>
          <w:szCs w:val="22"/>
        </w:rPr>
        <w:t>GT Lessors</w:t>
      </w:r>
      <w:bookmarkEnd w:id="117"/>
      <w:bookmarkEnd w:id="118"/>
      <w:bookmarkEnd w:id="119"/>
      <w:bookmarkEnd w:id="120"/>
      <w:bookmarkEnd w:id="121"/>
      <w:bookmarkEnd w:id="122"/>
      <w:r w:rsidRPr="003451A7">
        <w:rPr>
          <w:sz w:val="22"/>
          <w:szCs w:val="22"/>
        </w:rPr>
        <w:t xml:space="preserve"> </w:t>
      </w:r>
    </w:p>
    <w:p w14:paraId="53FD2E92" w14:textId="77777777" w:rsidR="005841D0" w:rsidRPr="003451A7" w:rsidRDefault="005841D0" w:rsidP="005841D0">
      <w:pPr>
        <w:pStyle w:val="NormalParagraph"/>
        <w:rPr>
          <w:rFonts w:eastAsia="Times New Roman" w:cs="Arial"/>
          <w:iCs/>
          <w:lang w:eastAsia="en-US" w:bidi="bn-BD"/>
        </w:rPr>
      </w:pPr>
      <w:bookmarkStart w:id="123" w:name="_Hlk109575187"/>
      <w:r>
        <w:rPr>
          <w:lang w:eastAsia="en-US" w:bidi="bn-BD"/>
        </w:rPr>
        <w:t xml:space="preserve">GT Lessors </w:t>
      </w:r>
      <w:r w:rsidRPr="00D9475B">
        <w:rPr>
          <w:lang w:eastAsia="en-US" w:bidi="bn-BD"/>
        </w:rPr>
        <w:t xml:space="preserve">are required to adhere to the following </w:t>
      </w:r>
      <w:r>
        <w:rPr>
          <w:lang w:eastAsia="en-US" w:bidi="bn-BD"/>
        </w:rPr>
        <w:t xml:space="preserve">requirements </w:t>
      </w:r>
      <w:r w:rsidRPr="00D9475B">
        <w:rPr>
          <w:lang w:eastAsia="en-US" w:bidi="bn-BD"/>
        </w:rPr>
        <w:t xml:space="preserve">to comply with this </w:t>
      </w:r>
      <w:r>
        <w:rPr>
          <w:lang w:eastAsia="en-US" w:bidi="bn-BD"/>
        </w:rPr>
        <w:t xml:space="preserve">CoC. </w:t>
      </w:r>
      <w:r w:rsidRPr="003451A7">
        <w:rPr>
          <w:rFonts w:eastAsia="Times New Roman" w:cs="Arial"/>
          <w:iCs/>
          <w:lang w:eastAsia="en-US" w:bidi="bn-BD"/>
        </w:rPr>
        <w:t>A GT Lessor is</w:t>
      </w:r>
      <w:r>
        <w:rPr>
          <w:rFonts w:eastAsia="Times New Roman" w:cs="Arial"/>
          <w:iCs/>
          <w:lang w:eastAsia="en-US" w:bidi="bn-BD"/>
        </w:rPr>
        <w:t>,</w:t>
      </w:r>
      <w:r w:rsidRPr="003451A7">
        <w:rPr>
          <w:rFonts w:eastAsia="Times New Roman" w:cs="Arial"/>
          <w:iCs/>
          <w:lang w:eastAsia="en-US" w:bidi="bn-BD"/>
        </w:rPr>
        <w:t xml:space="preserve"> by definition</w:t>
      </w:r>
      <w:r>
        <w:rPr>
          <w:rFonts w:eastAsia="Times New Roman" w:cs="Arial"/>
          <w:iCs/>
          <w:lang w:eastAsia="en-US" w:bidi="bn-BD"/>
        </w:rPr>
        <w:t>,</w:t>
      </w:r>
      <w:r w:rsidRPr="003451A7">
        <w:rPr>
          <w:rFonts w:eastAsia="Times New Roman" w:cs="Arial"/>
          <w:iCs/>
          <w:lang w:eastAsia="en-US" w:bidi="bn-BD"/>
        </w:rPr>
        <w:t xml:space="preserve"> a GT Assignee that has decided to monetise </w:t>
      </w:r>
      <w:r>
        <w:rPr>
          <w:rFonts w:eastAsia="Times New Roman" w:cs="Arial"/>
          <w:iCs/>
          <w:lang w:eastAsia="en-US" w:bidi="bn-BD"/>
        </w:rPr>
        <w:t>its</w:t>
      </w:r>
      <w:r w:rsidRPr="003451A7">
        <w:rPr>
          <w:rFonts w:eastAsia="Times New Roman" w:cs="Arial"/>
          <w:iCs/>
          <w:lang w:eastAsia="en-US" w:bidi="bn-BD"/>
        </w:rPr>
        <w:t xml:space="preserve"> GT resources. The decision to monetise resource</w:t>
      </w:r>
      <w:r>
        <w:rPr>
          <w:rFonts w:eastAsia="Times New Roman" w:cs="Arial"/>
          <w:iCs/>
          <w:lang w:eastAsia="en-US" w:bidi="bn-BD"/>
        </w:rPr>
        <w:t>s</w:t>
      </w:r>
      <w:r w:rsidRPr="003451A7">
        <w:rPr>
          <w:rFonts w:eastAsia="Times New Roman" w:cs="Arial"/>
          <w:iCs/>
          <w:lang w:eastAsia="en-US" w:bidi="bn-BD"/>
        </w:rPr>
        <w:t xml:space="preserve"> has consequences and this </w:t>
      </w:r>
      <w:r>
        <w:rPr>
          <w:rFonts w:eastAsia="Times New Roman" w:cs="Arial"/>
          <w:iCs/>
          <w:lang w:eastAsia="en-US" w:bidi="bn-BD"/>
        </w:rPr>
        <w:t>CoC</w:t>
      </w:r>
      <w:r w:rsidRPr="003451A7">
        <w:rPr>
          <w:rFonts w:eastAsia="Times New Roman" w:cs="Arial"/>
          <w:iCs/>
          <w:lang w:eastAsia="en-US" w:bidi="bn-BD"/>
        </w:rPr>
        <w:t xml:space="preserve"> </w:t>
      </w:r>
      <w:r>
        <w:rPr>
          <w:rFonts w:eastAsia="Times New Roman" w:cs="Arial"/>
          <w:iCs/>
          <w:lang w:eastAsia="en-US" w:bidi="bn-BD"/>
        </w:rPr>
        <w:t>imposes appropriate</w:t>
      </w:r>
      <w:r w:rsidRPr="003451A7">
        <w:rPr>
          <w:rFonts w:eastAsia="Times New Roman" w:cs="Arial"/>
          <w:iCs/>
          <w:lang w:eastAsia="en-US" w:bidi="bn-BD"/>
        </w:rPr>
        <w:t xml:space="preserve"> requirements </w:t>
      </w:r>
      <w:r>
        <w:rPr>
          <w:rFonts w:eastAsia="Times New Roman" w:cs="Arial"/>
          <w:iCs/>
          <w:lang w:eastAsia="en-US" w:bidi="bn-BD"/>
        </w:rPr>
        <w:t>on</w:t>
      </w:r>
      <w:r w:rsidRPr="003451A7">
        <w:rPr>
          <w:rFonts w:eastAsia="Times New Roman" w:cs="Arial"/>
          <w:iCs/>
          <w:lang w:eastAsia="en-US" w:bidi="bn-BD"/>
        </w:rPr>
        <w:t xml:space="preserve"> all GT Lessors. </w:t>
      </w:r>
    </w:p>
    <w:p w14:paraId="32F07B25" w14:textId="77777777" w:rsidR="005841D0" w:rsidRPr="00E25E55" w:rsidRDefault="005841D0" w:rsidP="005841D0">
      <w:pPr>
        <w:pStyle w:val="NormalParagraph"/>
        <w:rPr>
          <w:rFonts w:eastAsia="Times New Roman" w:cs="Arial"/>
          <w:iCs/>
          <w:lang w:eastAsia="en-US" w:bidi="bn-BD"/>
        </w:rPr>
      </w:pPr>
      <w:r w:rsidRPr="003451A7">
        <w:rPr>
          <w:rFonts w:eastAsia="Times New Roman" w:cs="Arial"/>
          <w:iCs/>
          <w:lang w:eastAsia="en-US" w:bidi="bn-BD"/>
        </w:rPr>
        <w:t xml:space="preserve">Once a decision has been taken to become a GT Lessor, the GT Lessor </w:t>
      </w:r>
      <w:r w:rsidRPr="00E25E55">
        <w:rPr>
          <w:rFonts w:eastAsia="Times New Roman" w:cs="Arial"/>
          <w:iCs/>
          <w:lang w:eastAsia="en-US" w:bidi="bn-BD"/>
        </w:rPr>
        <w:t xml:space="preserve">should be aware that </w:t>
      </w:r>
      <w:r>
        <w:rPr>
          <w:rFonts w:eastAsia="Times New Roman" w:cs="Arial"/>
          <w:iCs/>
          <w:lang w:eastAsia="en-US" w:bidi="bn-BD"/>
        </w:rPr>
        <w:t>it is</w:t>
      </w:r>
      <w:r w:rsidRPr="00E25E55">
        <w:rPr>
          <w:rFonts w:eastAsia="Times New Roman" w:cs="Arial"/>
          <w:iCs/>
          <w:lang w:eastAsia="en-US" w:bidi="bn-BD"/>
        </w:rPr>
        <w:t xml:space="preserve"> legally liable for any harm caused to the Target </w:t>
      </w:r>
      <w:r>
        <w:rPr>
          <w:rFonts w:eastAsia="Times New Roman" w:cs="Arial"/>
          <w:iCs/>
          <w:lang w:eastAsia="en-US" w:bidi="bn-BD"/>
        </w:rPr>
        <w:t>Operator</w:t>
      </w:r>
      <w:r w:rsidRPr="00E25E55">
        <w:rPr>
          <w:rFonts w:eastAsia="Times New Roman" w:cs="Arial"/>
          <w:iCs/>
          <w:lang w:eastAsia="en-US" w:bidi="bn-BD"/>
        </w:rPr>
        <w:t xml:space="preserve">, irrespective of whether </w:t>
      </w:r>
      <w:r>
        <w:rPr>
          <w:rFonts w:eastAsia="Times New Roman" w:cs="Arial"/>
          <w:iCs/>
          <w:lang w:eastAsia="en-US" w:bidi="bn-BD"/>
        </w:rPr>
        <w:t>it</w:t>
      </w:r>
      <w:r w:rsidRPr="00E25E55">
        <w:rPr>
          <w:rFonts w:eastAsia="Times New Roman" w:cs="Arial"/>
          <w:iCs/>
          <w:lang w:eastAsia="en-US" w:bidi="bn-BD"/>
        </w:rPr>
        <w:t xml:space="preserve"> or the GT Lessee generated </w:t>
      </w:r>
      <w:r>
        <w:rPr>
          <w:rFonts w:eastAsia="Times New Roman" w:cs="Arial"/>
          <w:iCs/>
          <w:lang w:eastAsia="en-US" w:bidi="bn-BD"/>
        </w:rPr>
        <w:t>malicious</w:t>
      </w:r>
      <w:r w:rsidRPr="00E25E55">
        <w:rPr>
          <w:rFonts w:eastAsia="Times New Roman" w:cs="Arial"/>
          <w:iCs/>
          <w:lang w:eastAsia="en-US" w:bidi="bn-BD"/>
        </w:rPr>
        <w:t xml:space="preserve"> traffic </w:t>
      </w:r>
      <w:r>
        <w:rPr>
          <w:rFonts w:eastAsia="Times New Roman" w:cs="Arial"/>
          <w:iCs/>
          <w:lang w:eastAsia="en-US" w:bidi="bn-BD"/>
        </w:rPr>
        <w:t>that may result in harm</w:t>
      </w:r>
      <w:r w:rsidRPr="00E25E55">
        <w:rPr>
          <w:rFonts w:eastAsia="Times New Roman" w:cs="Arial"/>
          <w:iCs/>
          <w:lang w:eastAsia="en-US" w:bidi="bn-BD"/>
        </w:rPr>
        <w:t xml:space="preserve">. PRD BA.20 </w:t>
      </w:r>
      <w:r w:rsidRPr="00E25E55">
        <w:rPr>
          <w:rFonts w:eastAsia="Times New Roman" w:cs="Arial"/>
          <w:iCs/>
          <w:lang w:eastAsia="en-US" w:bidi="bn-BD"/>
        </w:rPr>
        <w:fldChar w:fldCharType="begin"/>
      </w:r>
      <w:r w:rsidRPr="00E25E55">
        <w:rPr>
          <w:rFonts w:eastAsia="Times New Roman" w:cs="Arial"/>
          <w:iCs/>
          <w:lang w:eastAsia="en-US" w:bidi="bn-BD"/>
        </w:rPr>
        <w:instrText xml:space="preserve"> REF _Ref93577901 \r \h  \* MERGEFORMAT </w:instrText>
      </w:r>
      <w:r w:rsidRPr="00E25E55">
        <w:rPr>
          <w:rFonts w:eastAsia="Times New Roman" w:cs="Arial"/>
          <w:iCs/>
          <w:lang w:eastAsia="en-US" w:bidi="bn-BD"/>
        </w:rPr>
      </w:r>
      <w:r w:rsidRPr="00E25E55">
        <w:rPr>
          <w:rFonts w:eastAsia="Times New Roman" w:cs="Arial"/>
          <w:iCs/>
          <w:lang w:eastAsia="en-US" w:bidi="bn-BD"/>
        </w:rPr>
        <w:fldChar w:fldCharType="separate"/>
      </w:r>
      <w:r w:rsidRPr="00E25E55">
        <w:rPr>
          <w:rFonts w:eastAsia="Times New Roman" w:cs="Arial"/>
          <w:iCs/>
          <w:lang w:eastAsia="en-US" w:bidi="bn-BD"/>
        </w:rPr>
        <w:t>[4]</w:t>
      </w:r>
      <w:r w:rsidRPr="00E25E55">
        <w:rPr>
          <w:rFonts w:eastAsia="Times New Roman" w:cs="Arial"/>
          <w:iCs/>
          <w:lang w:eastAsia="en-US" w:bidi="bn-BD"/>
        </w:rPr>
        <w:fldChar w:fldCharType="end"/>
      </w:r>
      <w:r w:rsidRPr="00E25E55">
        <w:rPr>
          <w:rFonts w:eastAsia="Times New Roman" w:cs="Arial"/>
          <w:iCs/>
          <w:lang w:eastAsia="en-US" w:bidi="bn-BD"/>
        </w:rPr>
        <w:t xml:space="preserve"> is unambiguous on this matter. GT leasing is not a preferred method of gaining access to a roaming operator’s network. Although </w:t>
      </w:r>
      <w:r>
        <w:rPr>
          <w:rFonts w:eastAsia="Times New Roman" w:cs="Arial"/>
          <w:iCs/>
          <w:lang w:eastAsia="en-US" w:bidi="bn-BD"/>
        </w:rPr>
        <w:t xml:space="preserve">previously </w:t>
      </w:r>
      <w:r w:rsidRPr="00E25E55">
        <w:rPr>
          <w:rFonts w:eastAsia="Times New Roman" w:cs="Arial"/>
          <w:iCs/>
          <w:lang w:eastAsia="en-US" w:bidi="bn-BD"/>
        </w:rPr>
        <w:t>tolerated</w:t>
      </w:r>
      <w:r>
        <w:rPr>
          <w:rFonts w:eastAsia="Times New Roman" w:cs="Arial"/>
          <w:iCs/>
          <w:lang w:eastAsia="en-US" w:bidi="bn-BD"/>
        </w:rPr>
        <w:t xml:space="preserve"> to support</w:t>
      </w:r>
      <w:r w:rsidRPr="00E25E55">
        <w:rPr>
          <w:rFonts w:eastAsia="Times New Roman" w:cs="Arial"/>
          <w:iCs/>
          <w:lang w:eastAsia="en-US" w:bidi="bn-BD"/>
        </w:rPr>
        <w:t xml:space="preserve"> some </w:t>
      </w:r>
      <w:r>
        <w:rPr>
          <w:rFonts w:eastAsia="Times New Roman" w:cs="Arial"/>
          <w:iCs/>
          <w:lang w:eastAsia="en-US" w:bidi="bn-BD"/>
        </w:rPr>
        <w:t>use cases</w:t>
      </w:r>
      <w:r w:rsidRPr="00E25E55">
        <w:rPr>
          <w:rFonts w:eastAsia="Times New Roman" w:cs="Arial"/>
          <w:iCs/>
          <w:lang w:eastAsia="en-US" w:bidi="bn-BD"/>
        </w:rPr>
        <w:t xml:space="preserve">, it </w:t>
      </w:r>
      <w:r>
        <w:rPr>
          <w:rFonts w:eastAsia="Times New Roman" w:cs="Arial"/>
          <w:iCs/>
          <w:lang w:eastAsia="en-US" w:bidi="bn-BD"/>
        </w:rPr>
        <w:t xml:space="preserve">can </w:t>
      </w:r>
      <w:r w:rsidRPr="00E25E55">
        <w:rPr>
          <w:rFonts w:eastAsia="Times New Roman" w:cs="Arial"/>
          <w:iCs/>
          <w:lang w:eastAsia="en-US" w:bidi="bn-BD"/>
        </w:rPr>
        <w:t xml:space="preserve">obfuscate the true source of signalling making fault finding and network </w:t>
      </w:r>
      <w:r>
        <w:rPr>
          <w:rFonts w:eastAsia="Times New Roman" w:cs="Arial"/>
          <w:iCs/>
          <w:lang w:eastAsia="en-US" w:bidi="bn-BD"/>
        </w:rPr>
        <w:t xml:space="preserve">and user </w:t>
      </w:r>
      <w:r w:rsidRPr="00E25E55">
        <w:rPr>
          <w:rFonts w:eastAsia="Times New Roman" w:cs="Arial"/>
          <w:iCs/>
          <w:lang w:eastAsia="en-US" w:bidi="bn-BD"/>
        </w:rPr>
        <w:t>protection more difficult</w:t>
      </w:r>
      <w:r>
        <w:rPr>
          <w:rFonts w:eastAsia="Times New Roman" w:cs="Arial"/>
          <w:iCs/>
          <w:lang w:eastAsia="en-US" w:bidi="bn-BD"/>
        </w:rPr>
        <w:t xml:space="preserve"> and is discouraged</w:t>
      </w:r>
      <w:r w:rsidRPr="00E25E55">
        <w:rPr>
          <w:rFonts w:eastAsia="Times New Roman" w:cs="Arial"/>
          <w:iCs/>
          <w:lang w:eastAsia="en-US" w:bidi="bn-BD"/>
        </w:rPr>
        <w:t>.</w:t>
      </w:r>
    </w:p>
    <w:p w14:paraId="4EB107B1" w14:textId="77777777" w:rsidR="005841D0" w:rsidRPr="003255EA" w:rsidRDefault="005841D0" w:rsidP="005841D0">
      <w:pPr>
        <w:pStyle w:val="ListNumber"/>
        <w:numPr>
          <w:ilvl w:val="0"/>
          <w:numId w:val="10"/>
        </w:numPr>
        <w:tabs>
          <w:tab w:val="num" w:pos="851"/>
        </w:tabs>
        <w:contextualSpacing w:val="0"/>
      </w:pPr>
      <w:r w:rsidRPr="003255EA">
        <w:t xml:space="preserve">GT </w:t>
      </w:r>
      <w:r w:rsidRPr="00AE18C7">
        <w:t>Lessors</w:t>
      </w:r>
      <w:r w:rsidRPr="003255EA">
        <w:t xml:space="preserve"> MUST take responsibility for their Global Titles and the consequences (predictable or otherwise) of their decisions in relation to GT Leasing.</w:t>
      </w:r>
      <w:r>
        <w:t xml:space="preserve"> </w:t>
      </w:r>
      <w:r w:rsidRPr="003255EA">
        <w:t>They SHALL acknowledge that they are always responsible for the signalling generated by their GT Lessees and SHALL have appropriate measures in place to ensure compliance.</w:t>
      </w:r>
    </w:p>
    <w:p w14:paraId="7880F58D" w14:textId="77777777" w:rsidR="005841D0" w:rsidRPr="003255EA" w:rsidRDefault="005841D0" w:rsidP="005841D0">
      <w:pPr>
        <w:pStyle w:val="ListNumber"/>
        <w:numPr>
          <w:ilvl w:val="0"/>
          <w:numId w:val="10"/>
        </w:numPr>
        <w:tabs>
          <w:tab w:val="num" w:pos="851"/>
        </w:tabs>
        <w:contextualSpacing w:val="0"/>
      </w:pPr>
      <w:r w:rsidRPr="003255EA">
        <w:t xml:space="preserve">GT Lessors MUST ensure that they are familiar with the details of BA.20 </w:t>
      </w:r>
      <w:r w:rsidRPr="003255EA">
        <w:fldChar w:fldCharType="begin"/>
      </w:r>
      <w:r w:rsidRPr="003255EA">
        <w:instrText xml:space="preserve"> REF _Ref93577901 \r \h  \* MERGEFORMAT </w:instrText>
      </w:r>
      <w:r w:rsidRPr="003255EA">
        <w:fldChar w:fldCharType="separate"/>
      </w:r>
      <w:r w:rsidRPr="003255EA">
        <w:t>[4]</w:t>
      </w:r>
      <w:r w:rsidRPr="003255EA">
        <w:fldChar w:fldCharType="end"/>
      </w:r>
      <w:r w:rsidRPr="003255EA">
        <w:t xml:space="preserve"> related to the liability resulting from GT Leasing. </w:t>
      </w:r>
    </w:p>
    <w:p w14:paraId="065923C7" w14:textId="77777777" w:rsidR="005841D0" w:rsidRDefault="005841D0" w:rsidP="005841D0">
      <w:pPr>
        <w:pStyle w:val="ListNumber"/>
        <w:numPr>
          <w:ilvl w:val="0"/>
          <w:numId w:val="10"/>
        </w:numPr>
        <w:tabs>
          <w:tab w:val="num" w:pos="851"/>
        </w:tabs>
        <w:contextualSpacing w:val="0"/>
      </w:pPr>
      <w:r w:rsidRPr="003255EA">
        <w:t>GT Lessors SHALL commit to conduct due diligence on any potential GT Lessee</w:t>
      </w:r>
      <w:r>
        <w:t>s</w:t>
      </w:r>
      <w:r w:rsidRPr="003255EA">
        <w:t xml:space="preserve"> before providing them </w:t>
      </w:r>
      <w:r>
        <w:t xml:space="preserve">with </w:t>
      </w:r>
      <w:r w:rsidRPr="003255EA">
        <w:t xml:space="preserve">access to </w:t>
      </w:r>
      <w:r>
        <w:t>any</w:t>
      </w:r>
      <w:r w:rsidRPr="003255EA">
        <w:t xml:space="preserve"> GTs. This SHOULD include both a review of the company and the declared use cases that they plan to </w:t>
      </w:r>
      <w:r>
        <w:t>support using the leased GTs</w:t>
      </w:r>
      <w:r w:rsidRPr="003255EA">
        <w:t xml:space="preserve">. Additionally, upon adopting this </w:t>
      </w:r>
      <w:r>
        <w:t>CoC,</w:t>
      </w:r>
      <w:r w:rsidRPr="003255EA">
        <w:t xml:space="preserve"> GT Lessors </w:t>
      </w:r>
      <w:r>
        <w:t>SHALL</w:t>
      </w:r>
      <w:r w:rsidRPr="003255EA">
        <w:t xml:space="preserve"> conduct a retrospective and periodic due diligence of all existing GT Lessees.</w:t>
      </w:r>
    </w:p>
    <w:p w14:paraId="24BE3F05" w14:textId="77777777" w:rsidR="005841D0" w:rsidRPr="003255EA" w:rsidRDefault="005841D0" w:rsidP="005841D0">
      <w:pPr>
        <w:pStyle w:val="ListNumber"/>
        <w:numPr>
          <w:ilvl w:val="0"/>
          <w:numId w:val="10"/>
        </w:numPr>
        <w:tabs>
          <w:tab w:val="num" w:pos="851"/>
        </w:tabs>
        <w:contextualSpacing w:val="0"/>
      </w:pPr>
      <w:r>
        <w:t>GT Lessor SHALL require the GT Lessee to use a Transit Carrier that has signed up to this Code of Conduct.</w:t>
      </w:r>
    </w:p>
    <w:p w14:paraId="31845F5C" w14:textId="77777777" w:rsidR="005841D0" w:rsidRDefault="005841D0" w:rsidP="005841D0">
      <w:pPr>
        <w:pStyle w:val="ListNumber"/>
        <w:numPr>
          <w:ilvl w:val="0"/>
          <w:numId w:val="10"/>
        </w:numPr>
        <w:tabs>
          <w:tab w:val="num" w:pos="851"/>
        </w:tabs>
        <w:contextualSpacing w:val="0"/>
      </w:pPr>
      <w:bookmarkStart w:id="124" w:name="_Ref86064945"/>
      <w:r w:rsidRPr="000B414D">
        <w:t>GT Lessors, who are Full Members of the GSMA, MUST provide clear and current information within their IR.21 using the appropriate RAEX format, or free text fields prior to RAEX being updated, to clearly declare which of their GTs are subject to GT Leasing. This information MUST be provided with complete transparency and be available to all GSMA members.</w:t>
      </w:r>
    </w:p>
    <w:p w14:paraId="3E4B1D45" w14:textId="77777777" w:rsidR="005841D0" w:rsidRPr="009B1CA0" w:rsidRDefault="005841D0" w:rsidP="005841D0">
      <w:pPr>
        <w:pStyle w:val="ListNumber"/>
        <w:numPr>
          <w:ilvl w:val="0"/>
          <w:numId w:val="10"/>
        </w:numPr>
        <w:tabs>
          <w:tab w:val="num" w:pos="851"/>
        </w:tabs>
        <w:contextualSpacing w:val="0"/>
      </w:pPr>
      <w:r w:rsidRPr="009F5C3A">
        <w:t xml:space="preserve">The GT Lessor’s IR.21 MUST detail the business name of the GT Lessee and the type of signalling node that is using the leased GT. </w:t>
      </w:r>
      <w:bookmarkEnd w:id="124"/>
    </w:p>
    <w:p w14:paraId="62AEB987" w14:textId="77777777" w:rsidR="005841D0" w:rsidRPr="003255EA" w:rsidRDefault="005841D0" w:rsidP="005841D0">
      <w:pPr>
        <w:pStyle w:val="ListNumber"/>
        <w:numPr>
          <w:ilvl w:val="0"/>
          <w:numId w:val="10"/>
        </w:numPr>
        <w:tabs>
          <w:tab w:val="num" w:pos="851"/>
        </w:tabs>
        <w:contextualSpacing w:val="0"/>
      </w:pPr>
      <w:r w:rsidRPr="00155721">
        <w:lastRenderedPageBreak/>
        <w:t>GT Lessors MUST implement real-time technical controls on the use of leased GTs to ensure they are compliant with the recommendations of FS.11 and to ensure their use is limited to the specific declared use cases defined in the agreement(s) between GT Lessor, GT Lessee and roaming partner. For the avoidance of doubt, contractual controls only are not considered adequate and outsourcing real time technical controls, such as an outbound firewall, is not recommended due to the sensitive nature of traffic and the risks involved.</w:t>
      </w:r>
      <w:r w:rsidRPr="003255EA">
        <w:t xml:space="preserve"> </w:t>
      </w:r>
      <w:r w:rsidRPr="00EC62CC">
        <w:t>In the specific case of authori</w:t>
      </w:r>
      <w:r>
        <w:t>s</w:t>
      </w:r>
      <w:r w:rsidRPr="00EC62CC">
        <w:t>ed penetration testing only, a GT Lessor may remove</w:t>
      </w:r>
      <w:r>
        <w:t xml:space="preserve"> </w:t>
      </w:r>
      <w:r w:rsidRPr="00EC62CC">
        <w:t>real-time technical controls</w:t>
      </w:r>
      <w:r>
        <w:t xml:space="preserve"> that could impair the authorised penetration testing traffic destined for a Target Operator </w:t>
      </w:r>
      <w:r w:rsidRPr="00EC62CC">
        <w:t xml:space="preserve">upon receipt of a written request and </w:t>
      </w:r>
      <w:r>
        <w:t>“</w:t>
      </w:r>
      <w:r w:rsidRPr="00EC62CC">
        <w:t>Authori</w:t>
      </w:r>
      <w:r>
        <w:t>s</w:t>
      </w:r>
      <w:r w:rsidRPr="00EC62CC">
        <w:t xml:space="preserve">ation </w:t>
      </w:r>
      <w:r>
        <w:t xml:space="preserve">to Test” </w:t>
      </w:r>
      <w:r w:rsidRPr="00EC62CC">
        <w:t>from th</w:t>
      </w:r>
      <w:r>
        <w:t>at</w:t>
      </w:r>
      <w:r w:rsidRPr="00EC62CC">
        <w:t xml:space="preserve"> Target Operator.</w:t>
      </w:r>
    </w:p>
    <w:p w14:paraId="64106B99" w14:textId="09BB191E" w:rsidR="005841D0" w:rsidRDefault="005841D0" w:rsidP="005841D0">
      <w:pPr>
        <w:pStyle w:val="ListNumber"/>
        <w:numPr>
          <w:ilvl w:val="0"/>
          <w:numId w:val="10"/>
        </w:numPr>
        <w:tabs>
          <w:tab w:val="num" w:pos="851"/>
        </w:tabs>
        <w:contextualSpacing w:val="0"/>
      </w:pPr>
      <w:bookmarkStart w:id="125" w:name="_Hlk109575683"/>
      <w:bookmarkStart w:id="126" w:name="_Hlk109575873"/>
      <w:r>
        <w:t xml:space="preserve">GT Lessors SHALL not allow use of the Routing via Lessee Only method, </w:t>
      </w:r>
    </w:p>
    <w:bookmarkEnd w:id="125"/>
    <w:bookmarkEnd w:id="126"/>
    <w:p w14:paraId="4DA23842" w14:textId="47BBB050" w:rsidR="005841D0" w:rsidRPr="003255EA" w:rsidRDefault="005841D0" w:rsidP="005841D0">
      <w:pPr>
        <w:pStyle w:val="ListNumber"/>
        <w:numPr>
          <w:ilvl w:val="0"/>
          <w:numId w:val="10"/>
        </w:numPr>
        <w:tabs>
          <w:tab w:val="num" w:pos="851"/>
        </w:tabs>
        <w:contextualSpacing w:val="0"/>
      </w:pPr>
      <w:r w:rsidRPr="003255EA">
        <w:t>GT Lessor</w:t>
      </w:r>
      <w:r>
        <w:t>s</w:t>
      </w:r>
      <w:r w:rsidRPr="003255EA">
        <w:t xml:space="preserve"> MUST disclose full details of the</w:t>
      </w:r>
      <w:r>
        <w:t>ir</w:t>
      </w:r>
      <w:r w:rsidRPr="003255EA">
        <w:t xml:space="preserve"> GT Lessee</w:t>
      </w:r>
      <w:r>
        <w:t>s</w:t>
      </w:r>
      <w:r w:rsidRPr="003255EA">
        <w:t xml:space="preserve"> upon request </w:t>
      </w:r>
      <w:r w:rsidR="00C27D3A">
        <w:t>from</w:t>
      </w:r>
      <w:r w:rsidRPr="003255EA">
        <w:t xml:space="preserve"> Target Operator</w:t>
      </w:r>
      <w:r>
        <w:t>s</w:t>
      </w:r>
      <w:r w:rsidRPr="003255EA">
        <w:t xml:space="preserve"> where evidence is supplied to confirm that traffic </w:t>
      </w:r>
      <w:r>
        <w:t xml:space="preserve">received by the Target Operators using GT Lessor’s leased GTs </w:t>
      </w:r>
      <w:r w:rsidRPr="003255EA">
        <w:t xml:space="preserve">was in breach of the relevant PRDs. This will </w:t>
      </w:r>
      <w:r>
        <w:t>assist</w:t>
      </w:r>
      <w:r w:rsidRPr="003255EA">
        <w:t xml:space="preserve"> the investigations </w:t>
      </w:r>
      <w:r w:rsidR="000B38A9">
        <w:t>by</w:t>
      </w:r>
      <w:r w:rsidRPr="003255EA">
        <w:t xml:space="preserve"> the Target Operator</w:t>
      </w:r>
      <w:r>
        <w:t>s</w:t>
      </w:r>
      <w:r w:rsidRPr="003255EA">
        <w:t xml:space="preserve"> (where multiple GTs may have been used) and will facilitate </w:t>
      </w:r>
      <w:r>
        <w:t xml:space="preserve">threat </w:t>
      </w:r>
      <w:r w:rsidRPr="003255EA">
        <w:t xml:space="preserve">intelligence sharing. </w:t>
      </w:r>
    </w:p>
    <w:p w14:paraId="63552240" w14:textId="0667C1CF" w:rsidR="005841D0" w:rsidRPr="003255EA" w:rsidRDefault="005841D0" w:rsidP="005841D0">
      <w:pPr>
        <w:pStyle w:val="ListNumber"/>
        <w:numPr>
          <w:ilvl w:val="0"/>
          <w:numId w:val="10"/>
        </w:numPr>
        <w:tabs>
          <w:tab w:val="num" w:pos="851"/>
        </w:tabs>
        <w:contextualSpacing w:val="0"/>
      </w:pPr>
      <w:r w:rsidRPr="003255EA">
        <w:t xml:space="preserve">GT Lessors MUST NOT object to being named in </w:t>
      </w:r>
      <w:r>
        <w:t xml:space="preserve">threat </w:t>
      </w:r>
      <w:r w:rsidRPr="003255EA">
        <w:t>intelligence sharing report</w:t>
      </w:r>
      <w:r>
        <w:t>s</w:t>
      </w:r>
      <w:r w:rsidRPr="003255EA">
        <w:t xml:space="preserve"> as a party that originated traffic that was in breach of the relevant PRDs. This does not negate the right to reply </w:t>
      </w:r>
      <w:r w:rsidR="000E1DEE">
        <w:t>if named in</w:t>
      </w:r>
      <w:r w:rsidRPr="003255EA">
        <w:t xml:space="preserve"> such report</w:t>
      </w:r>
      <w:r>
        <w:t>s</w:t>
      </w:r>
      <w:r w:rsidRPr="003255EA">
        <w:t>.</w:t>
      </w:r>
    </w:p>
    <w:p w14:paraId="540FEF21" w14:textId="77777777" w:rsidR="005841D0" w:rsidRPr="003255EA" w:rsidRDefault="005841D0" w:rsidP="005841D0">
      <w:pPr>
        <w:pStyle w:val="ListNumber"/>
        <w:numPr>
          <w:ilvl w:val="0"/>
          <w:numId w:val="10"/>
        </w:numPr>
        <w:tabs>
          <w:tab w:val="num" w:pos="851"/>
        </w:tabs>
        <w:contextualSpacing w:val="0"/>
      </w:pPr>
      <w:r w:rsidRPr="003255EA">
        <w:t>GT Lessors MUST consent to the Transit Carrier providing signalling traces related to traffic originating from their GTs to the Target Operator</w:t>
      </w:r>
      <w:r>
        <w:t>s</w:t>
      </w:r>
      <w:r w:rsidRPr="003255EA">
        <w:t xml:space="preserve"> upon request. </w:t>
      </w:r>
    </w:p>
    <w:p w14:paraId="0255A4D3" w14:textId="77777777" w:rsidR="005841D0" w:rsidRDefault="005841D0" w:rsidP="005841D0">
      <w:pPr>
        <w:pStyle w:val="ListNumber"/>
        <w:numPr>
          <w:ilvl w:val="0"/>
          <w:numId w:val="10"/>
        </w:numPr>
        <w:tabs>
          <w:tab w:val="num" w:pos="851"/>
        </w:tabs>
        <w:contextualSpacing w:val="0"/>
      </w:pPr>
      <w:r>
        <w:t xml:space="preserve">GT Lessors MUST retain summary </w:t>
      </w:r>
      <w:r w:rsidRPr="003255EA">
        <w:t>signalling data (</w:t>
      </w:r>
      <w:r>
        <w:t xml:space="preserve">i.e. </w:t>
      </w:r>
      <w:r w:rsidRPr="003255EA">
        <w:t>aggregated data which includes Originating Point Codes, Calling and Called GTs, MTP3 information, SCCP information and MAP information) for GTs leased to GT Lessee</w:t>
      </w:r>
      <w:r>
        <w:t>s</w:t>
      </w:r>
      <w:r w:rsidRPr="003255EA">
        <w:t xml:space="preserve"> for 4 months minimum. </w:t>
      </w:r>
    </w:p>
    <w:p w14:paraId="2AA0F258" w14:textId="77777777" w:rsidR="005841D0" w:rsidRPr="003255EA" w:rsidRDefault="005841D0" w:rsidP="005841D0">
      <w:pPr>
        <w:pStyle w:val="ListNumber"/>
        <w:numPr>
          <w:ilvl w:val="0"/>
          <w:numId w:val="10"/>
        </w:numPr>
        <w:tabs>
          <w:tab w:val="num" w:pos="851"/>
        </w:tabs>
        <w:contextualSpacing w:val="0"/>
      </w:pPr>
      <w:r>
        <w:t>GT Lessors MUST store full s</w:t>
      </w:r>
      <w:r w:rsidRPr="003255EA">
        <w:t>ignalling trace data for at least 10 calendar days.</w:t>
      </w:r>
    </w:p>
    <w:p w14:paraId="7B7DDC94" w14:textId="59C6C68A" w:rsidR="005841D0" w:rsidRPr="003255EA" w:rsidRDefault="005841D0" w:rsidP="005841D0">
      <w:pPr>
        <w:pStyle w:val="ListNumber"/>
        <w:numPr>
          <w:ilvl w:val="0"/>
          <w:numId w:val="10"/>
        </w:numPr>
        <w:tabs>
          <w:tab w:val="num" w:pos="851"/>
        </w:tabs>
        <w:contextualSpacing w:val="0"/>
      </w:pPr>
      <w:r>
        <w:t>Threat i</w:t>
      </w:r>
      <w:r w:rsidRPr="003255EA">
        <w:t>ntelligence sharing is considered “best practice” and</w:t>
      </w:r>
      <w:r w:rsidR="004B5882">
        <w:t>,</w:t>
      </w:r>
      <w:r w:rsidRPr="003255EA">
        <w:t xml:space="preserve"> as such</w:t>
      </w:r>
      <w:r w:rsidR="004B5882">
        <w:t>,</w:t>
      </w:r>
      <w:r w:rsidRPr="003255EA">
        <w:t xml:space="preserve"> GT Lessors SHOULD </w:t>
      </w:r>
      <w:r>
        <w:t xml:space="preserve">support and </w:t>
      </w:r>
      <w:r w:rsidRPr="003255EA">
        <w:t xml:space="preserve">participate in </w:t>
      </w:r>
      <w:r>
        <w:t xml:space="preserve">threat </w:t>
      </w:r>
      <w:r w:rsidRPr="003255EA">
        <w:t>intelligence sharing.</w:t>
      </w:r>
    </w:p>
    <w:p w14:paraId="26841CF8" w14:textId="77777777" w:rsidR="005841D0" w:rsidRPr="003255EA" w:rsidRDefault="005841D0" w:rsidP="005841D0">
      <w:pPr>
        <w:pStyle w:val="ListNumber"/>
        <w:numPr>
          <w:ilvl w:val="0"/>
          <w:numId w:val="10"/>
        </w:numPr>
        <w:tabs>
          <w:tab w:val="num" w:pos="851"/>
        </w:tabs>
        <w:contextualSpacing w:val="0"/>
      </w:pPr>
      <w:r w:rsidRPr="003255EA">
        <w:t xml:space="preserve">As a </w:t>
      </w:r>
      <w:r>
        <w:t>principle</w:t>
      </w:r>
      <w:r w:rsidRPr="003255EA">
        <w:t xml:space="preserve">, sub-leasing of GTs is not recommended and SHOULD be avoided. However, </w:t>
      </w:r>
      <w:r w:rsidRPr="00AE18C7">
        <w:t>there</w:t>
      </w:r>
      <w:r w:rsidRPr="003255EA">
        <w:t xml:space="preserve"> are circumstances e.g. business restructuring where such a relationship is created. Where GT</w:t>
      </w:r>
      <w:r>
        <w:t xml:space="preserve"> </w:t>
      </w:r>
      <w:r w:rsidRPr="003255EA">
        <w:t>sub</w:t>
      </w:r>
      <w:r>
        <w:t>-</w:t>
      </w:r>
      <w:r w:rsidRPr="003255EA">
        <w:t>leasing takes place, the following clauses MUST be adhered to:</w:t>
      </w:r>
    </w:p>
    <w:p w14:paraId="35580BAB" w14:textId="5582E662" w:rsidR="005841D0" w:rsidRPr="00AF63F2" w:rsidRDefault="005841D0" w:rsidP="005841D0">
      <w:pPr>
        <w:pStyle w:val="Listletter"/>
        <w:numPr>
          <w:ilvl w:val="1"/>
          <w:numId w:val="10"/>
        </w:numPr>
      </w:pPr>
      <w:r w:rsidRPr="00AF63F2">
        <w:t xml:space="preserve">GT Lessors MUST contractually oblige any GT Lessees to declare any instances where the GT Lessees have allocated addresses to GT Sub-Lessees. In such scenarios, the GT Lessors MUST engage the GT Sub-Lessees in the same manner as GT Lessees per </w:t>
      </w:r>
      <w:r w:rsidR="001D0801">
        <w:fldChar w:fldCharType="begin"/>
      </w:r>
      <w:r w:rsidR="001D0801">
        <w:instrText xml:space="preserve"> REF _Ref209286466 \r \h </w:instrText>
      </w:r>
      <w:r w:rsidR="001D0801">
        <w:fldChar w:fldCharType="separate"/>
      </w:r>
      <w:r w:rsidR="001D0801">
        <w:t>6.1</w:t>
      </w:r>
      <w:r w:rsidR="001D0801">
        <w:fldChar w:fldCharType="end"/>
      </w:r>
      <w:r w:rsidRPr="00AF63F2">
        <w:t>, (notably clauses 3,4,5 and 6).</w:t>
      </w:r>
    </w:p>
    <w:p w14:paraId="0DC47418" w14:textId="77777777" w:rsidR="005841D0" w:rsidRPr="00AF63F2" w:rsidRDefault="005841D0" w:rsidP="005841D0">
      <w:pPr>
        <w:pStyle w:val="Listletter"/>
        <w:numPr>
          <w:ilvl w:val="1"/>
          <w:numId w:val="10"/>
        </w:numPr>
      </w:pPr>
      <w:r w:rsidRPr="00AF63F2">
        <w:t>GT Lessors MUST NOT allow GT Sub-Lessees to further sublet addresses to other parties.</w:t>
      </w:r>
    </w:p>
    <w:p w14:paraId="44A66F72" w14:textId="2B87E5C6" w:rsidR="005841D0" w:rsidRDefault="005841D0" w:rsidP="005841D0">
      <w:pPr>
        <w:pStyle w:val="ListNumber"/>
        <w:numPr>
          <w:ilvl w:val="0"/>
          <w:numId w:val="10"/>
        </w:numPr>
        <w:tabs>
          <w:tab w:val="num" w:pos="851"/>
        </w:tabs>
        <w:contextualSpacing w:val="0"/>
      </w:pPr>
      <w:r w:rsidRPr="003255EA">
        <w:t>Where GT Lessee</w:t>
      </w:r>
      <w:r>
        <w:t>s</w:t>
      </w:r>
      <w:r w:rsidRPr="003255EA">
        <w:t xml:space="preserve"> or GT Sub-Lessee</w:t>
      </w:r>
      <w:r>
        <w:t>s</w:t>
      </w:r>
      <w:r w:rsidRPr="003255EA">
        <w:t xml:space="preserve"> </w:t>
      </w:r>
      <w:r>
        <w:t>are</w:t>
      </w:r>
      <w:r w:rsidRPr="003255EA">
        <w:t xml:space="preserve"> identified by the GT Lessor</w:t>
      </w:r>
      <w:r>
        <w:t>s</w:t>
      </w:r>
      <w:r w:rsidRPr="003255EA">
        <w:t xml:space="preserve"> as falsifying information in a declaration of use case, or in declarations of Sub-leasing, the GT </w:t>
      </w:r>
      <w:r w:rsidRPr="003255EA">
        <w:lastRenderedPageBreak/>
        <w:t>Lessor</w:t>
      </w:r>
      <w:r>
        <w:t>s</w:t>
      </w:r>
      <w:r w:rsidRPr="003255EA">
        <w:t xml:space="preserve"> MUST terminate the GT Lessee</w:t>
      </w:r>
      <w:r>
        <w:t>s</w:t>
      </w:r>
      <w:r w:rsidR="00AD031D">
        <w:t>’</w:t>
      </w:r>
      <w:r w:rsidRPr="003255EA">
        <w:t xml:space="preserve"> or Sub-Lessee</w:t>
      </w:r>
      <w:r>
        <w:t>s</w:t>
      </w:r>
      <w:r w:rsidR="00AD031D">
        <w:t>’</w:t>
      </w:r>
      <w:r w:rsidRPr="003255EA">
        <w:t xml:space="preserve"> traffic with immediate effect and SHOULD inform other carriers through </w:t>
      </w:r>
      <w:r>
        <w:t xml:space="preserve">threat </w:t>
      </w:r>
      <w:r w:rsidRPr="003255EA">
        <w:t>intelligence sharing.</w:t>
      </w:r>
    </w:p>
    <w:p w14:paraId="400E4121" w14:textId="77777777" w:rsidR="005841D0" w:rsidRPr="003255EA" w:rsidRDefault="005841D0" w:rsidP="005841D0">
      <w:pPr>
        <w:pStyle w:val="ListNumber"/>
        <w:numPr>
          <w:ilvl w:val="0"/>
          <w:numId w:val="10"/>
        </w:numPr>
        <w:tabs>
          <w:tab w:val="num" w:pos="851"/>
        </w:tabs>
        <w:contextualSpacing w:val="0"/>
      </w:pPr>
      <w:r>
        <w:t>GT Lessors that declare compliance with this CoC MUST comply in good faith with the CoC Complaints process.</w:t>
      </w:r>
    </w:p>
    <w:p w14:paraId="7DE56B39" w14:textId="77777777" w:rsidR="005841D0" w:rsidRPr="00D9475B" w:rsidRDefault="005841D0" w:rsidP="005841D0">
      <w:pPr>
        <w:pStyle w:val="Heading2"/>
        <w:rPr>
          <w:sz w:val="22"/>
          <w:szCs w:val="22"/>
        </w:rPr>
      </w:pPr>
      <w:bookmarkStart w:id="127" w:name="_Toc85405253"/>
      <w:bookmarkStart w:id="128" w:name="_Toc216786457"/>
      <w:bookmarkEnd w:id="123"/>
      <w:r w:rsidRPr="00D9475B">
        <w:rPr>
          <w:sz w:val="22"/>
          <w:szCs w:val="22"/>
        </w:rPr>
        <w:t xml:space="preserve">Transit </w:t>
      </w:r>
      <w:bookmarkEnd w:id="127"/>
      <w:r>
        <w:rPr>
          <w:sz w:val="22"/>
          <w:szCs w:val="22"/>
        </w:rPr>
        <w:t>Carriers</w:t>
      </w:r>
      <w:bookmarkEnd w:id="128"/>
    </w:p>
    <w:p w14:paraId="654F5A8C" w14:textId="77777777" w:rsidR="005841D0" w:rsidRDefault="005841D0" w:rsidP="005841D0">
      <w:pPr>
        <w:pStyle w:val="NormalParagraph"/>
        <w:rPr>
          <w:lang w:eastAsia="en-US" w:bidi="bn-BD"/>
        </w:rPr>
      </w:pPr>
      <w:r w:rsidRPr="00D9475B">
        <w:rPr>
          <w:lang w:eastAsia="en-US" w:bidi="bn-BD"/>
        </w:rPr>
        <w:t xml:space="preserve">Transit </w:t>
      </w:r>
      <w:r>
        <w:rPr>
          <w:lang w:eastAsia="en-US" w:bidi="bn-BD"/>
        </w:rPr>
        <w:t>Carriers</w:t>
      </w:r>
      <w:r w:rsidRPr="00D9475B">
        <w:rPr>
          <w:lang w:eastAsia="en-US" w:bidi="bn-BD"/>
        </w:rPr>
        <w:t xml:space="preserve"> are required to adhere to the following </w:t>
      </w:r>
      <w:r>
        <w:rPr>
          <w:lang w:eastAsia="en-US" w:bidi="bn-BD"/>
        </w:rPr>
        <w:t>requirements</w:t>
      </w:r>
      <w:r w:rsidRPr="00D9475B">
        <w:rPr>
          <w:lang w:eastAsia="en-US" w:bidi="bn-BD"/>
        </w:rPr>
        <w:t xml:space="preserve"> to comply with this Co</w:t>
      </w:r>
      <w:r>
        <w:rPr>
          <w:lang w:eastAsia="en-US" w:bidi="bn-BD"/>
        </w:rPr>
        <w:t xml:space="preserve">C. Any Transit Carrier that signs up to this CoC SHALL adhere to the relevant PRDs. Traffic is typically cascaded through a chain of Transit Carriers and the rules in this CoC apply equally to </w:t>
      </w:r>
      <w:proofErr w:type="gramStart"/>
      <w:r>
        <w:rPr>
          <w:lang w:eastAsia="en-US" w:bidi="bn-BD"/>
        </w:rPr>
        <w:t>all of</w:t>
      </w:r>
      <w:proofErr w:type="gramEnd"/>
      <w:r>
        <w:rPr>
          <w:lang w:eastAsia="en-US" w:bidi="bn-BD"/>
        </w:rPr>
        <w:t xml:space="preserve"> those Transit Carriers that also declare compliance with the CoC.</w:t>
      </w:r>
    </w:p>
    <w:p w14:paraId="30519BFB" w14:textId="77777777" w:rsidR="005841D0" w:rsidRPr="003255EA" w:rsidRDefault="005841D0" w:rsidP="005841D0">
      <w:pPr>
        <w:pStyle w:val="NormalParagraph"/>
      </w:pPr>
      <w:r>
        <w:rPr>
          <w:lang w:eastAsia="en-US" w:bidi="bn-BD"/>
        </w:rPr>
        <w:t>It is acknowledged that satisfying these requirements will require effort and investment by Transit Carriers. This could lead to additional commercial charges from Transit Carriers to their customers.</w:t>
      </w:r>
    </w:p>
    <w:p w14:paraId="49657AC5" w14:textId="241FB8CC" w:rsidR="001F1CC2" w:rsidRPr="00C02D72" w:rsidRDefault="001F1CC2" w:rsidP="005841D0">
      <w:pPr>
        <w:pStyle w:val="ListNumber"/>
        <w:numPr>
          <w:ilvl w:val="0"/>
          <w:numId w:val="24"/>
        </w:numPr>
        <w:tabs>
          <w:tab w:val="clear" w:pos="340"/>
          <w:tab w:val="num" w:pos="284"/>
          <w:tab w:val="num" w:pos="851"/>
        </w:tabs>
        <w:ind w:left="624"/>
        <w:contextualSpacing w:val="0"/>
      </w:pPr>
      <w:r w:rsidRPr="00C02D72">
        <w:t xml:space="preserve">Transit Carriers </w:t>
      </w:r>
      <w:r w:rsidR="00CE14A0" w:rsidRPr="00C02D72">
        <w:t xml:space="preserve">MUST </w:t>
      </w:r>
      <w:r w:rsidR="00BF0305" w:rsidRPr="00C02D72">
        <w:t xml:space="preserve">assure </w:t>
      </w:r>
      <w:r w:rsidR="00E3312B" w:rsidRPr="00C02D72">
        <w:t>that the next hop, for diameter request messages destined to a DEPA</w:t>
      </w:r>
      <w:r w:rsidR="000A5F70" w:rsidRPr="00C02D72">
        <w:t xml:space="preserve">, is either the relevant DEPA Assignee or the IPX diameter provider </w:t>
      </w:r>
      <w:r w:rsidR="003B53C0" w:rsidRPr="00C02D72">
        <w:t>of the DEPA assignee as stated in IR.21</w:t>
      </w:r>
      <w:r w:rsidR="000B7010" w:rsidRPr="00C02D72">
        <w:t>.</w:t>
      </w:r>
    </w:p>
    <w:p w14:paraId="45D9ADF8" w14:textId="700141B3" w:rsidR="005841D0" w:rsidRDefault="005841D0" w:rsidP="005841D0">
      <w:pPr>
        <w:pStyle w:val="ListNumber"/>
        <w:numPr>
          <w:ilvl w:val="0"/>
          <w:numId w:val="24"/>
        </w:numPr>
        <w:tabs>
          <w:tab w:val="clear" w:pos="340"/>
          <w:tab w:val="num" w:pos="284"/>
          <w:tab w:val="num" w:pos="851"/>
        </w:tabs>
        <w:ind w:left="624"/>
        <w:contextualSpacing w:val="0"/>
      </w:pPr>
      <w:r w:rsidRPr="00AE18C7">
        <w:t xml:space="preserve">Transit Carriers SHALL </w:t>
      </w:r>
      <w:r>
        <w:t xml:space="preserve">not use or facilitate use of the </w:t>
      </w:r>
      <w:r w:rsidRPr="00AE18C7">
        <w:t>Routing via Lessee Only method.</w:t>
      </w:r>
    </w:p>
    <w:p w14:paraId="0B32AEAF" w14:textId="77777777" w:rsidR="005841D0" w:rsidRDefault="005841D0" w:rsidP="005841D0">
      <w:pPr>
        <w:pStyle w:val="ListNumber"/>
        <w:numPr>
          <w:ilvl w:val="0"/>
          <w:numId w:val="10"/>
        </w:numPr>
        <w:tabs>
          <w:tab w:val="num" w:pos="851"/>
        </w:tabs>
        <w:contextualSpacing w:val="0"/>
        <w:rPr>
          <w:lang w:eastAsia="en-US"/>
        </w:rPr>
      </w:pPr>
      <w:r>
        <w:rPr>
          <w:lang w:eastAsia="en-US"/>
        </w:rPr>
        <w:t xml:space="preserve">Transit </w:t>
      </w:r>
      <w:r w:rsidRPr="009271B0">
        <w:rPr>
          <w:lang w:eastAsia="en-US"/>
        </w:rPr>
        <w:t>Carriers</w:t>
      </w:r>
      <w:r>
        <w:rPr>
          <w:lang w:eastAsia="en-US"/>
        </w:rPr>
        <w:t xml:space="preserve"> MUST ensure that they comply with the binding requirements of PRD IR.77. </w:t>
      </w:r>
    </w:p>
    <w:p w14:paraId="326438A1" w14:textId="28AE45DC" w:rsidR="005841D0" w:rsidRDefault="005841D0" w:rsidP="005841D0">
      <w:pPr>
        <w:pStyle w:val="ListNumber"/>
        <w:numPr>
          <w:ilvl w:val="0"/>
          <w:numId w:val="10"/>
        </w:numPr>
        <w:tabs>
          <w:tab w:val="num" w:pos="851"/>
        </w:tabs>
        <w:contextualSpacing w:val="0"/>
      </w:pPr>
      <w:r>
        <w:rPr>
          <w:lang w:eastAsia="en-US"/>
        </w:rPr>
        <w:t>Upon request from a Target Operator, Transit Carriers MUST provide detai</w:t>
      </w:r>
      <w:r w:rsidRPr="00D064A1">
        <w:rPr>
          <w:lang w:eastAsia="en-US"/>
        </w:rPr>
        <w:t>ls</w:t>
      </w:r>
      <w:r>
        <w:rPr>
          <w:lang w:eastAsia="en-US"/>
        </w:rPr>
        <w:t xml:space="preserve"> of </w:t>
      </w:r>
      <w:r w:rsidRPr="00D064A1">
        <w:rPr>
          <w:lang w:eastAsia="en-US"/>
        </w:rPr>
        <w:t>whether t</w:t>
      </w:r>
      <w:r w:rsidRPr="00C27AA3">
        <w:rPr>
          <w:lang w:eastAsia="en-US"/>
        </w:rPr>
        <w:t xml:space="preserve">raffic </w:t>
      </w:r>
      <w:r>
        <w:t xml:space="preserve">received by the Target Operator using leased GTs </w:t>
      </w:r>
      <w:r w:rsidRPr="00C27AA3">
        <w:rPr>
          <w:lang w:eastAsia="en-US"/>
        </w:rPr>
        <w:t xml:space="preserve">was subject </w:t>
      </w:r>
      <w:proofErr w:type="gramStart"/>
      <w:r w:rsidRPr="00C27AA3">
        <w:rPr>
          <w:lang w:eastAsia="en-US"/>
        </w:rPr>
        <w:t xml:space="preserve">to </w:t>
      </w:r>
      <w:r w:rsidR="00496303">
        <w:rPr>
          <w:lang w:eastAsia="en-US"/>
        </w:rPr>
        <w:t xml:space="preserve"> the</w:t>
      </w:r>
      <w:proofErr w:type="gramEnd"/>
      <w:r w:rsidR="00496303">
        <w:rPr>
          <w:lang w:eastAsia="en-US"/>
        </w:rPr>
        <w:t xml:space="preserve"> </w:t>
      </w:r>
      <w:r w:rsidRPr="000F4A6D">
        <w:t xml:space="preserve">Routing via Lessor or </w:t>
      </w:r>
      <w:r w:rsidR="00496303">
        <w:t xml:space="preserve">the </w:t>
      </w:r>
      <w:r>
        <w:t>Routing via Lessee Only</w:t>
      </w:r>
      <w:r w:rsidR="00496303">
        <w:t xml:space="preserve"> method</w:t>
      </w:r>
      <w:r>
        <w:t xml:space="preserve">. </w:t>
      </w:r>
    </w:p>
    <w:p w14:paraId="4B3ECB97" w14:textId="20AF5334" w:rsidR="005841D0" w:rsidRDefault="005841D0" w:rsidP="005841D0">
      <w:pPr>
        <w:pStyle w:val="ListNumber"/>
        <w:numPr>
          <w:ilvl w:val="0"/>
          <w:numId w:val="10"/>
        </w:numPr>
        <w:tabs>
          <w:tab w:val="num" w:pos="851"/>
        </w:tabs>
        <w:contextualSpacing w:val="0"/>
        <w:rPr>
          <w:lang w:eastAsia="en-US"/>
        </w:rPr>
      </w:pPr>
      <w:r>
        <w:rPr>
          <w:lang w:eastAsia="en-US"/>
        </w:rPr>
        <w:t>Transit Carriers MUST support Target Operators by providing details of traffic that transited their network that is the subject of Target Operator investigation</w:t>
      </w:r>
      <w:r w:rsidR="002563CD">
        <w:rPr>
          <w:lang w:eastAsia="en-US"/>
        </w:rPr>
        <w:t>s</w:t>
      </w:r>
      <w:r>
        <w:rPr>
          <w:lang w:eastAsia="en-US"/>
        </w:rPr>
        <w:t>. This applies whether the Transit Carrier has a commercial relationship with the Target Operator or not, within the constraints permitted by data privacy regulations.</w:t>
      </w:r>
    </w:p>
    <w:p w14:paraId="43154D40" w14:textId="77777777" w:rsidR="005841D0" w:rsidRDefault="005841D0" w:rsidP="005841D0">
      <w:pPr>
        <w:pStyle w:val="ListNumber"/>
        <w:numPr>
          <w:ilvl w:val="0"/>
          <w:numId w:val="10"/>
        </w:numPr>
        <w:tabs>
          <w:tab w:val="num" w:pos="851"/>
        </w:tabs>
        <w:contextualSpacing w:val="0"/>
        <w:rPr>
          <w:lang w:eastAsia="en-US"/>
        </w:rPr>
      </w:pPr>
      <w:r>
        <w:rPr>
          <w:lang w:eastAsia="en-US"/>
        </w:rPr>
        <w:t xml:space="preserve">Upon request from a Target Operator, including a copy of a relevant signalling trace for traffic that transited towards or terminated in the Target Operator’s network, a Transit Carrier MUST provide an unmodified signalling trace </w:t>
      </w:r>
      <w:r>
        <w:t xml:space="preserve">for ingress </w:t>
      </w:r>
      <w:r w:rsidRPr="003255EA">
        <w:t xml:space="preserve">traffic </w:t>
      </w:r>
      <w:r>
        <w:t xml:space="preserve">using leased GTs transiting its network </w:t>
      </w:r>
      <w:r w:rsidRPr="003255EA">
        <w:t>to</w:t>
      </w:r>
      <w:r>
        <w:t>wards</w:t>
      </w:r>
      <w:r w:rsidRPr="003255EA">
        <w:t xml:space="preserve"> the Target Operator</w:t>
      </w:r>
      <w:r>
        <w:rPr>
          <w:lang w:eastAsia="en-US"/>
        </w:rPr>
        <w:t>.</w:t>
      </w:r>
      <w:r>
        <w:t xml:space="preserve"> </w:t>
      </w:r>
    </w:p>
    <w:p w14:paraId="23417195" w14:textId="77777777" w:rsidR="005841D0" w:rsidRDefault="005841D0" w:rsidP="005841D0">
      <w:pPr>
        <w:pStyle w:val="ListNumber"/>
        <w:numPr>
          <w:ilvl w:val="0"/>
          <w:numId w:val="10"/>
        </w:numPr>
        <w:tabs>
          <w:tab w:val="num" w:pos="851"/>
        </w:tabs>
        <w:contextualSpacing w:val="0"/>
        <w:rPr>
          <w:lang w:eastAsia="en-US"/>
        </w:rPr>
      </w:pPr>
      <w:r>
        <w:rPr>
          <w:lang w:eastAsia="en-US"/>
        </w:rPr>
        <w:t xml:space="preserve">Transit Carriers MUST retain summary signalling data (i.e. aggregated data which includes Originating Point Codes, Calling and Called GTs, MTP3 information, SCCP information and MAP information) for leased GTs for 1 month minimum. </w:t>
      </w:r>
    </w:p>
    <w:p w14:paraId="20AF3919" w14:textId="77777777" w:rsidR="005841D0" w:rsidRDefault="005841D0" w:rsidP="005841D0">
      <w:pPr>
        <w:pStyle w:val="ListNumber"/>
        <w:numPr>
          <w:ilvl w:val="0"/>
          <w:numId w:val="10"/>
        </w:numPr>
        <w:tabs>
          <w:tab w:val="num" w:pos="851"/>
        </w:tabs>
        <w:contextualSpacing w:val="0"/>
        <w:rPr>
          <w:lang w:eastAsia="en-US"/>
        </w:rPr>
      </w:pPr>
      <w:r>
        <w:rPr>
          <w:lang w:eastAsia="en-US"/>
        </w:rPr>
        <w:t xml:space="preserve">Transit Carriers MUST store full signalling trace data for at least 7 calendar days. </w:t>
      </w:r>
    </w:p>
    <w:p w14:paraId="7D2E30FF" w14:textId="7B4256D3" w:rsidR="005841D0" w:rsidRDefault="005841D0" w:rsidP="005841D0">
      <w:pPr>
        <w:pStyle w:val="ListNumber"/>
        <w:numPr>
          <w:ilvl w:val="0"/>
          <w:numId w:val="10"/>
        </w:numPr>
        <w:tabs>
          <w:tab w:val="num" w:pos="851"/>
        </w:tabs>
        <w:contextualSpacing w:val="0"/>
        <w:rPr>
          <w:lang w:eastAsia="en-US"/>
        </w:rPr>
      </w:pPr>
      <w:r>
        <w:rPr>
          <w:lang w:eastAsia="en-US"/>
        </w:rPr>
        <w:t xml:space="preserve">Transit </w:t>
      </w:r>
      <w:r w:rsidRPr="009271B0">
        <w:rPr>
          <w:lang w:eastAsia="en-US"/>
        </w:rPr>
        <w:t>Carrier</w:t>
      </w:r>
      <w:r>
        <w:rPr>
          <w:lang w:eastAsia="en-US"/>
        </w:rPr>
        <w:t xml:space="preserve">s MUST identify the source of the traffic that was delivered to the Target Operators. In the case that multiple Transit </w:t>
      </w:r>
      <w:r w:rsidRPr="009271B0">
        <w:rPr>
          <w:lang w:eastAsia="en-US"/>
        </w:rPr>
        <w:t>Carriers</w:t>
      </w:r>
      <w:r>
        <w:rPr>
          <w:lang w:eastAsia="en-US"/>
        </w:rPr>
        <w:t xml:space="preserve"> are involved in the delivery of this traffic, Transit</w:t>
      </w:r>
      <w:r w:rsidRPr="009271B0">
        <w:rPr>
          <w:lang w:eastAsia="en-US"/>
        </w:rPr>
        <w:t xml:space="preserve"> </w:t>
      </w:r>
      <w:r>
        <w:rPr>
          <w:lang w:eastAsia="en-US"/>
        </w:rPr>
        <w:t xml:space="preserve">Carriers that have declared compliance with this CoC SHALL identify the party from </w:t>
      </w:r>
      <w:r w:rsidR="003B2057">
        <w:rPr>
          <w:lang w:eastAsia="en-US"/>
        </w:rPr>
        <w:t xml:space="preserve">which </w:t>
      </w:r>
      <w:r>
        <w:rPr>
          <w:lang w:eastAsia="en-US"/>
        </w:rPr>
        <w:t>they received the traffic.</w:t>
      </w:r>
    </w:p>
    <w:p w14:paraId="701A9A53" w14:textId="77777777" w:rsidR="005841D0" w:rsidRDefault="005841D0" w:rsidP="005841D0">
      <w:pPr>
        <w:pStyle w:val="ListNumber"/>
        <w:numPr>
          <w:ilvl w:val="0"/>
          <w:numId w:val="10"/>
        </w:numPr>
        <w:tabs>
          <w:tab w:val="num" w:pos="851"/>
        </w:tabs>
        <w:contextualSpacing w:val="0"/>
        <w:rPr>
          <w:lang w:eastAsia="en-US"/>
        </w:rPr>
      </w:pPr>
      <w:r>
        <w:rPr>
          <w:lang w:eastAsia="en-US"/>
        </w:rPr>
        <w:lastRenderedPageBreak/>
        <w:t>Where Target Operators are unable to block traffic from GT Lessees, the Transit Carriers SHOULD block that traffic to those Target Operators upon request from the Target Operators.</w:t>
      </w:r>
    </w:p>
    <w:p w14:paraId="479F4D60" w14:textId="3B09E4F3" w:rsidR="005841D0" w:rsidRDefault="005841D0" w:rsidP="005841D0">
      <w:pPr>
        <w:pStyle w:val="ListNumber"/>
        <w:numPr>
          <w:ilvl w:val="0"/>
          <w:numId w:val="10"/>
        </w:numPr>
        <w:tabs>
          <w:tab w:val="num" w:pos="851"/>
        </w:tabs>
        <w:contextualSpacing w:val="0"/>
        <w:rPr>
          <w:lang w:eastAsia="en-US"/>
        </w:rPr>
      </w:pPr>
      <w:r>
        <w:rPr>
          <w:lang w:eastAsia="en-US"/>
        </w:rPr>
        <w:t xml:space="preserve">Transit Carriers that lease GTs MUST comply with all the requirements of section </w:t>
      </w:r>
      <w:r>
        <w:rPr>
          <w:lang w:eastAsia="en-US"/>
        </w:rPr>
        <w:fldChar w:fldCharType="begin"/>
      </w:r>
      <w:r>
        <w:rPr>
          <w:lang w:eastAsia="en-US"/>
        </w:rPr>
        <w:instrText xml:space="preserve"> REF _Ref117512198 \r \h  \* MERGEFORMAT </w:instrText>
      </w:r>
      <w:r>
        <w:rPr>
          <w:lang w:eastAsia="en-US"/>
        </w:rPr>
      </w:r>
      <w:r>
        <w:rPr>
          <w:lang w:eastAsia="en-US"/>
        </w:rPr>
        <w:fldChar w:fldCharType="separate"/>
      </w:r>
      <w:r w:rsidR="006F2DFC">
        <w:rPr>
          <w:lang w:eastAsia="en-US"/>
        </w:rPr>
        <w:t>6.1</w:t>
      </w:r>
      <w:r>
        <w:rPr>
          <w:lang w:eastAsia="en-US"/>
        </w:rPr>
        <w:fldChar w:fldCharType="end"/>
      </w:r>
      <w:r>
        <w:rPr>
          <w:lang w:eastAsia="en-US"/>
        </w:rPr>
        <w:t>.</w:t>
      </w:r>
    </w:p>
    <w:p w14:paraId="45683304" w14:textId="28CEE477" w:rsidR="005841D0" w:rsidRDefault="005841D0" w:rsidP="005841D0">
      <w:pPr>
        <w:pStyle w:val="ListNumber"/>
        <w:numPr>
          <w:ilvl w:val="0"/>
          <w:numId w:val="10"/>
        </w:numPr>
        <w:tabs>
          <w:tab w:val="num" w:pos="851"/>
        </w:tabs>
        <w:contextualSpacing w:val="0"/>
        <w:rPr>
          <w:lang w:eastAsia="en-US"/>
        </w:rPr>
      </w:pPr>
      <w:r>
        <w:t>Threat i</w:t>
      </w:r>
      <w:r w:rsidRPr="00D87EC3">
        <w:t>ntelligence sharing is considered “best practice” and</w:t>
      </w:r>
      <w:r w:rsidR="00037AFD">
        <w:t>,</w:t>
      </w:r>
      <w:r w:rsidRPr="00D87EC3">
        <w:t xml:space="preserve"> as such</w:t>
      </w:r>
      <w:r w:rsidR="00037AFD">
        <w:t>,</w:t>
      </w:r>
      <w:r w:rsidRPr="00D87EC3">
        <w:t xml:space="preserve"> Transit Carriers SHOULD </w:t>
      </w:r>
      <w:r>
        <w:t xml:space="preserve">support and </w:t>
      </w:r>
      <w:r w:rsidRPr="00D87EC3">
        <w:t xml:space="preserve">participate in </w:t>
      </w:r>
      <w:r>
        <w:t xml:space="preserve">threat </w:t>
      </w:r>
      <w:r w:rsidRPr="00D87EC3">
        <w:t xml:space="preserve">intelligence sharing.  </w:t>
      </w:r>
    </w:p>
    <w:p w14:paraId="497A03CF" w14:textId="05A10158" w:rsidR="005841D0" w:rsidRDefault="005841D0" w:rsidP="005841D0">
      <w:pPr>
        <w:pStyle w:val="ListNumber"/>
        <w:numPr>
          <w:ilvl w:val="0"/>
          <w:numId w:val="10"/>
        </w:numPr>
        <w:tabs>
          <w:tab w:val="num" w:pos="851"/>
        </w:tabs>
        <w:contextualSpacing w:val="0"/>
        <w:rPr>
          <w:lang w:eastAsia="en-US"/>
        </w:rPr>
      </w:pPr>
      <w:r>
        <w:t xml:space="preserve">Transit Carriers </w:t>
      </w:r>
      <w:r w:rsidRPr="006D4782">
        <w:t>MUST NOT object to being named</w:t>
      </w:r>
      <w:r>
        <w:t xml:space="preserve"> in threat intelligence sharing reports</w:t>
      </w:r>
      <w:r w:rsidRPr="006D4782">
        <w:t xml:space="preserve"> as a </w:t>
      </w:r>
      <w:r>
        <w:t xml:space="preserve">party that transited traffic </w:t>
      </w:r>
      <w:r w:rsidRPr="006D4782">
        <w:t xml:space="preserve">that </w:t>
      </w:r>
      <w:r>
        <w:rPr>
          <w:lang w:eastAsia="en-US"/>
        </w:rPr>
        <w:t xml:space="preserve">was </w:t>
      </w:r>
      <w:r w:rsidRPr="00D9475B">
        <w:rPr>
          <w:lang w:eastAsia="en-US"/>
        </w:rPr>
        <w:t>in breach of the relevant PRDs</w:t>
      </w:r>
      <w:r>
        <w:rPr>
          <w:lang w:eastAsia="en-US"/>
        </w:rPr>
        <w:t xml:space="preserve">. This does not negate the right to reply </w:t>
      </w:r>
      <w:r w:rsidR="00537138">
        <w:rPr>
          <w:lang w:eastAsia="en-US"/>
        </w:rPr>
        <w:t>if named in</w:t>
      </w:r>
      <w:r>
        <w:rPr>
          <w:lang w:eastAsia="en-US"/>
        </w:rPr>
        <w:t xml:space="preserve"> such reports.</w:t>
      </w:r>
    </w:p>
    <w:p w14:paraId="68F0F07E" w14:textId="36A34B0C" w:rsidR="005841D0" w:rsidRPr="00BB0E13" w:rsidRDefault="005841D0" w:rsidP="005841D0">
      <w:pPr>
        <w:pStyle w:val="ListNumber"/>
        <w:numPr>
          <w:ilvl w:val="0"/>
          <w:numId w:val="10"/>
        </w:numPr>
        <w:tabs>
          <w:tab w:val="num" w:pos="851"/>
        </w:tabs>
        <w:contextualSpacing w:val="0"/>
        <w:rPr>
          <w:lang w:eastAsia="en-US"/>
        </w:rPr>
      </w:pPr>
      <w:r w:rsidRPr="00651C7C">
        <w:rPr>
          <w:color w:val="000000"/>
        </w:rPr>
        <w:t xml:space="preserve">Transit Carriers MAY block any traffic deemed fraudulent as a proactive measure without </w:t>
      </w:r>
      <w:r w:rsidR="001D355A">
        <w:rPr>
          <w:color w:val="000000"/>
        </w:rPr>
        <w:t xml:space="preserve">a </w:t>
      </w:r>
      <w:r w:rsidRPr="00651C7C">
        <w:rPr>
          <w:color w:val="000000"/>
        </w:rPr>
        <w:t>prior request from Target Operator</w:t>
      </w:r>
      <w:r>
        <w:rPr>
          <w:color w:val="000000"/>
        </w:rPr>
        <w:t>s</w:t>
      </w:r>
      <w:r w:rsidRPr="00651C7C">
        <w:rPr>
          <w:color w:val="000000"/>
        </w:rPr>
        <w:t>.</w:t>
      </w:r>
      <w:r>
        <w:rPr>
          <w:color w:val="000000"/>
          <w:szCs w:val="22"/>
          <w:shd w:val="clear" w:color="auto" w:fill="FFFFFF"/>
        </w:rPr>
        <w:t> Transit Carriers SHOULD inform Target Operators and GT Lessors that such blocks have been implemented.</w:t>
      </w:r>
    </w:p>
    <w:p w14:paraId="7E46F8DF" w14:textId="77777777" w:rsidR="005841D0" w:rsidRDefault="005841D0" w:rsidP="005841D0">
      <w:pPr>
        <w:pStyle w:val="ListNumber"/>
        <w:numPr>
          <w:ilvl w:val="0"/>
          <w:numId w:val="10"/>
        </w:numPr>
        <w:tabs>
          <w:tab w:val="num" w:pos="851"/>
        </w:tabs>
        <w:contextualSpacing w:val="0"/>
        <w:rPr>
          <w:lang w:eastAsia="en-US"/>
        </w:rPr>
      </w:pPr>
      <w:r>
        <w:t>Transit Carriers that declare compliance with this CoC MUST comply in good faith with the CoC Complaints process.</w:t>
      </w:r>
    </w:p>
    <w:p w14:paraId="4FC3367D" w14:textId="77777777" w:rsidR="00D946F7" w:rsidRDefault="00C42D7A" w:rsidP="00D946F7">
      <w:pPr>
        <w:pStyle w:val="Heading2"/>
        <w:rPr>
          <w:sz w:val="22"/>
          <w:szCs w:val="22"/>
        </w:rPr>
      </w:pPr>
      <w:bookmarkStart w:id="129" w:name="_Toc204589529"/>
      <w:bookmarkStart w:id="130" w:name="_Toc216786458"/>
      <w:r>
        <w:rPr>
          <w:sz w:val="22"/>
          <w:szCs w:val="22"/>
        </w:rPr>
        <w:t>DEPA Leasing</w:t>
      </w:r>
      <w:bookmarkEnd w:id="129"/>
      <w:bookmarkEnd w:id="130"/>
    </w:p>
    <w:p w14:paraId="229E47ED" w14:textId="6027B90A" w:rsidR="007F4173" w:rsidRDefault="000C64EF" w:rsidP="00C046CA">
      <w:pPr>
        <w:pStyle w:val="ListNumber"/>
        <w:numPr>
          <w:ilvl w:val="3"/>
          <w:numId w:val="13"/>
        </w:numPr>
        <w:tabs>
          <w:tab w:val="clear" w:pos="2880"/>
          <w:tab w:val="num" w:pos="2380"/>
        </w:tabs>
        <w:ind w:left="709"/>
        <w:contextualSpacing w:val="0"/>
      </w:pPr>
      <w:r>
        <w:t>All forms of DEPA Leasing are prohibited</w:t>
      </w:r>
      <w:r w:rsidR="007F4173">
        <w:t>.</w:t>
      </w:r>
    </w:p>
    <w:p w14:paraId="52E3C4C4" w14:textId="2A0C0278" w:rsidR="00C42D7A" w:rsidRPr="00D946F7" w:rsidRDefault="00C42D7A" w:rsidP="00C046CA">
      <w:pPr>
        <w:pStyle w:val="ListBullet1"/>
        <w:numPr>
          <w:ilvl w:val="3"/>
          <w:numId w:val="13"/>
        </w:numPr>
        <w:tabs>
          <w:tab w:val="clear" w:pos="2880"/>
        </w:tabs>
        <w:ind w:left="709"/>
      </w:pPr>
      <w:r w:rsidRPr="00D946F7">
        <w:t>DEPA Lessors MUST cease any DEPA leasing and seek alternative indirect arrangements.</w:t>
      </w:r>
    </w:p>
    <w:p w14:paraId="03C680D2" w14:textId="1D0441D5" w:rsidR="005841D0" w:rsidRDefault="002C2DD2" w:rsidP="005841D0">
      <w:pPr>
        <w:pStyle w:val="Heading1"/>
      </w:pPr>
      <w:bookmarkStart w:id="131" w:name="_Toc86821930"/>
      <w:bookmarkStart w:id="132" w:name="_Toc88567049"/>
      <w:bookmarkStart w:id="133" w:name="_Toc88567550"/>
      <w:bookmarkStart w:id="134" w:name="_Toc90560684"/>
      <w:bookmarkStart w:id="135" w:name="_Toc216786459"/>
      <w:bookmarkStart w:id="136" w:name="_Toc85405254"/>
      <w:bookmarkEnd w:id="131"/>
      <w:bookmarkEnd w:id="132"/>
      <w:bookmarkEnd w:id="133"/>
      <w:bookmarkEnd w:id="134"/>
      <w:r>
        <w:t xml:space="preserve">Global Title </w:t>
      </w:r>
      <w:r w:rsidR="005841D0">
        <w:t>Best Practice Recommendations</w:t>
      </w:r>
      <w:bookmarkEnd w:id="135"/>
    </w:p>
    <w:p w14:paraId="7148AADD" w14:textId="77777777" w:rsidR="005841D0" w:rsidRPr="005E152D" w:rsidRDefault="005841D0" w:rsidP="005841D0">
      <w:pPr>
        <w:pStyle w:val="NormalParagraph"/>
      </w:pPr>
      <w:r>
        <w:rPr>
          <w:lang w:eastAsia="en-US" w:bidi="bn-BD"/>
        </w:rPr>
        <w:t>The following recommendations are included as best practice for GT Assignees and Target Operators and do not form part of the CoC.</w:t>
      </w:r>
    </w:p>
    <w:p w14:paraId="0BCFD16E" w14:textId="77777777" w:rsidR="005841D0" w:rsidRDefault="005841D0" w:rsidP="005841D0">
      <w:pPr>
        <w:pStyle w:val="Heading2"/>
      </w:pPr>
      <w:bookmarkStart w:id="137" w:name="_Toc216786460"/>
      <w:r>
        <w:t>GT Assignees</w:t>
      </w:r>
      <w:bookmarkEnd w:id="137"/>
    </w:p>
    <w:p w14:paraId="3EA2273A" w14:textId="0CBD2FE4" w:rsidR="005841D0" w:rsidRPr="00017BEF" w:rsidRDefault="005841D0" w:rsidP="005841D0">
      <w:pPr>
        <w:pStyle w:val="NormalParagraph"/>
      </w:pPr>
      <w:r w:rsidRPr="00017BEF">
        <w:t xml:space="preserve">GT Assignees </w:t>
      </w:r>
      <w:r>
        <w:t xml:space="preserve">are advised to </w:t>
      </w:r>
      <w:r w:rsidRPr="00017BEF">
        <w:t xml:space="preserve">proceed with caution when considering the matter of GT leasing. </w:t>
      </w:r>
      <w:r>
        <w:t>All other options</w:t>
      </w:r>
      <w:r w:rsidRPr="00FD7C47">
        <w:t>/architectures</w:t>
      </w:r>
      <w:r>
        <w:t xml:space="preserve"> (e.g. use of APIs)</w:t>
      </w:r>
      <w:r w:rsidRPr="00FD7C47">
        <w:t xml:space="preserve"> should be explored first before using GT leasing</w:t>
      </w:r>
      <w:r>
        <w:t>.</w:t>
      </w:r>
      <w:r w:rsidRPr="00017BEF">
        <w:t xml:space="preserve"> </w:t>
      </w:r>
      <w:r>
        <w:t>Where</w:t>
      </w:r>
      <w:r w:rsidRPr="00017BEF">
        <w:t xml:space="preserve"> there are legitimate uses of GT leasing, any arrangement enabling such services </w:t>
      </w:r>
      <w:r>
        <w:t xml:space="preserve">should </w:t>
      </w:r>
      <w:r w:rsidRPr="00017BEF">
        <w:t xml:space="preserve">ensure both contractual and technological means to enforce such </w:t>
      </w:r>
      <w:r>
        <w:t xml:space="preserve">legitimate </w:t>
      </w:r>
      <w:r w:rsidRPr="00017BEF">
        <w:t>usage and to block any unauthorised usage</w:t>
      </w:r>
      <w:r>
        <w:t xml:space="preserve"> (as outlined in </w:t>
      </w:r>
      <w:r w:rsidR="002D05BC">
        <w:fldChar w:fldCharType="begin"/>
      </w:r>
      <w:r w:rsidR="002D05BC">
        <w:instrText xml:space="preserve"> REF _Ref209286540 \r \h </w:instrText>
      </w:r>
      <w:r w:rsidR="002D05BC">
        <w:fldChar w:fldCharType="separate"/>
      </w:r>
      <w:r w:rsidR="002D05BC">
        <w:t>6.1</w:t>
      </w:r>
      <w:r w:rsidR="002D05BC">
        <w:fldChar w:fldCharType="end"/>
      </w:r>
      <w:r>
        <w:t>).</w:t>
      </w:r>
      <w:r w:rsidRPr="00017BEF" w:rsidDel="00D02299">
        <w:t xml:space="preserve"> </w:t>
      </w:r>
    </w:p>
    <w:p w14:paraId="6DC7B3BC" w14:textId="77777777" w:rsidR="005841D0" w:rsidRDefault="005841D0" w:rsidP="005841D0">
      <w:pPr>
        <w:pStyle w:val="NormalParagraph"/>
      </w:pPr>
      <w:r w:rsidRPr="00017BEF">
        <w:t xml:space="preserve">GT Assignees </w:t>
      </w:r>
      <w:r>
        <w:t xml:space="preserve">should </w:t>
      </w:r>
      <w:r w:rsidRPr="00017BEF">
        <w:t xml:space="preserve">commit to reviewing the requirements placed upon GT Lessors </w:t>
      </w:r>
      <w:r>
        <w:t xml:space="preserve">in this code of conduct </w:t>
      </w:r>
      <w:r w:rsidRPr="00017BEF">
        <w:t xml:space="preserve">and </w:t>
      </w:r>
      <w:r>
        <w:t xml:space="preserve">should </w:t>
      </w:r>
      <w:r w:rsidRPr="00017BEF">
        <w:t>agree to comply with all of them should they become GT Lessors.</w:t>
      </w:r>
    </w:p>
    <w:p w14:paraId="21472112" w14:textId="77777777" w:rsidR="005841D0" w:rsidRDefault="005841D0" w:rsidP="005841D0">
      <w:pPr>
        <w:pStyle w:val="Heading2"/>
      </w:pPr>
      <w:bookmarkStart w:id="138" w:name="_Toc216786461"/>
      <w:r>
        <w:t>Target Operators</w:t>
      </w:r>
      <w:bookmarkEnd w:id="136"/>
      <w:bookmarkEnd w:id="138"/>
    </w:p>
    <w:p w14:paraId="40CC6710" w14:textId="74784B7B" w:rsidR="005841D0" w:rsidRPr="00AE18C7" w:rsidRDefault="005841D0" w:rsidP="00B73B88">
      <w:pPr>
        <w:pStyle w:val="ListNumber"/>
        <w:numPr>
          <w:ilvl w:val="0"/>
          <w:numId w:val="25"/>
        </w:numPr>
        <w:contextualSpacing w:val="0"/>
      </w:pPr>
      <w:r w:rsidRPr="00AE18C7">
        <w:t>Target Operators should consider implementing the recommendations outlined in FS.11</w:t>
      </w:r>
      <w:r w:rsidR="0046486F">
        <w:t>,</w:t>
      </w:r>
      <w:r w:rsidRPr="00AE18C7">
        <w:t xml:space="preserve"> where applicable.</w:t>
      </w:r>
    </w:p>
    <w:p w14:paraId="7C9A9B23" w14:textId="50E2E3AB" w:rsidR="005841D0" w:rsidRPr="00AE18C7" w:rsidRDefault="005841D0" w:rsidP="005841D0">
      <w:pPr>
        <w:pStyle w:val="ListNumber"/>
        <w:numPr>
          <w:ilvl w:val="0"/>
          <w:numId w:val="10"/>
        </w:numPr>
        <w:tabs>
          <w:tab w:val="num" w:pos="851"/>
        </w:tabs>
        <w:contextualSpacing w:val="0"/>
      </w:pPr>
      <w:r w:rsidRPr="00AE18C7">
        <w:t xml:space="preserve">Target Operators that are recipients of signalling </w:t>
      </w:r>
      <w:r w:rsidR="00770318">
        <w:t xml:space="preserve">traffic </w:t>
      </w:r>
      <w:r w:rsidRPr="00AE18C7">
        <w:t xml:space="preserve">that is in breach of the relevant GSMA PRDs should share threat intelligence since threat intelligence sharing is considered “best practice”. This is detailed in section </w:t>
      </w:r>
      <w:r w:rsidRPr="00AE18C7">
        <w:fldChar w:fldCharType="begin"/>
      </w:r>
      <w:r w:rsidRPr="00AE18C7">
        <w:instrText xml:space="preserve"> REF _Ref85407473 \r \h  \* MERGEFORMAT </w:instrText>
      </w:r>
      <w:r w:rsidRPr="00AE18C7">
        <w:fldChar w:fldCharType="separate"/>
      </w:r>
      <w:r w:rsidR="00B86D21">
        <w:t>8</w:t>
      </w:r>
      <w:r w:rsidRPr="00AE18C7">
        <w:fldChar w:fldCharType="end"/>
      </w:r>
      <w:r w:rsidRPr="00AE18C7">
        <w:t xml:space="preserve"> below. </w:t>
      </w:r>
    </w:p>
    <w:p w14:paraId="523E951C" w14:textId="77777777" w:rsidR="005841D0" w:rsidRPr="00AE18C7" w:rsidRDefault="005841D0" w:rsidP="005841D0">
      <w:pPr>
        <w:pStyle w:val="ListNumber"/>
        <w:numPr>
          <w:ilvl w:val="0"/>
          <w:numId w:val="10"/>
        </w:numPr>
        <w:tabs>
          <w:tab w:val="num" w:pos="851"/>
        </w:tabs>
        <w:contextualSpacing w:val="0"/>
      </w:pPr>
      <w:r w:rsidRPr="00AE18C7">
        <w:lastRenderedPageBreak/>
        <w:t xml:space="preserve">Target Operators should identify the networks from where attacks </w:t>
      </w:r>
      <w:proofErr w:type="gramStart"/>
      <w:r w:rsidRPr="00AE18C7">
        <w:t>originated</w:t>
      </w:r>
      <w:r>
        <w:t>, and</w:t>
      </w:r>
      <w:proofErr w:type="gramEnd"/>
      <w:r>
        <w:t xml:space="preserve"> should attempt to attribute attacks to their true source.</w:t>
      </w:r>
      <w:r w:rsidRPr="00AE18C7">
        <w:t xml:space="preserve"> This is critical for any investigation into any breach and is also important for correlation of distributed attacks (as well as for threat intelligence sharing).</w:t>
      </w:r>
    </w:p>
    <w:p w14:paraId="45EB35B4" w14:textId="77777777" w:rsidR="005841D0" w:rsidRPr="00AE18C7" w:rsidRDefault="005841D0" w:rsidP="005841D0">
      <w:pPr>
        <w:pStyle w:val="ListNumber"/>
        <w:numPr>
          <w:ilvl w:val="0"/>
          <w:numId w:val="10"/>
        </w:numPr>
        <w:tabs>
          <w:tab w:val="num" w:pos="851"/>
        </w:tabs>
        <w:contextualSpacing w:val="0"/>
      </w:pPr>
      <w:r w:rsidRPr="00AE18C7">
        <w:t>Target Operators should review and, where appropriate, update their commercial contracts with GT Lessors and Transit Carriers to ensure all parties are compliant with this CoC.</w:t>
      </w:r>
    </w:p>
    <w:p w14:paraId="6B780EC2" w14:textId="77777777" w:rsidR="005841D0" w:rsidRPr="00AE18C7" w:rsidRDefault="005841D0" w:rsidP="005841D0">
      <w:pPr>
        <w:pStyle w:val="ListNumber"/>
        <w:numPr>
          <w:ilvl w:val="0"/>
          <w:numId w:val="10"/>
        </w:numPr>
        <w:tabs>
          <w:tab w:val="num" w:pos="851"/>
        </w:tabs>
        <w:contextualSpacing w:val="0"/>
      </w:pPr>
      <w:r w:rsidRPr="00AE18C7">
        <w:t>Target Operators should not accept signalling traffic originating from any party with whom they do not have an agreement to terminate such traffic. They SHOULD consider blocking calling party GTs that are not assigned to a GSMA operator member with which they have a roaming or interworking contract or otherwise a bilateral agreement. This is considered best practice.</w:t>
      </w:r>
    </w:p>
    <w:p w14:paraId="77DB168B" w14:textId="77777777" w:rsidR="005841D0" w:rsidRPr="00AE18C7" w:rsidRDefault="005841D0" w:rsidP="005841D0">
      <w:pPr>
        <w:pStyle w:val="ListNumber"/>
        <w:numPr>
          <w:ilvl w:val="0"/>
          <w:numId w:val="10"/>
        </w:numPr>
        <w:tabs>
          <w:tab w:val="num" w:pos="851"/>
        </w:tabs>
        <w:contextualSpacing w:val="0"/>
      </w:pPr>
      <w:r w:rsidRPr="00AE18C7">
        <w:t>Target Operators should not accept signalling messages from GTs assigned to non-members of the GSMA. Where they do so, they do so at their own risk.</w:t>
      </w:r>
    </w:p>
    <w:p w14:paraId="2AFCCC42" w14:textId="77777777" w:rsidR="005841D0" w:rsidRPr="0078112E" w:rsidRDefault="005841D0" w:rsidP="005841D0">
      <w:pPr>
        <w:pStyle w:val="Heading1"/>
      </w:pPr>
      <w:bookmarkStart w:id="139" w:name="_Ref85407473"/>
      <w:bookmarkStart w:id="140" w:name="_Toc85405255"/>
      <w:bookmarkStart w:id="141" w:name="_Toc216786462"/>
      <w:r>
        <w:t xml:space="preserve">Threat </w:t>
      </w:r>
      <w:r w:rsidRPr="00647588">
        <w:t>Intelligence sharing</w:t>
      </w:r>
      <w:bookmarkEnd w:id="139"/>
      <w:bookmarkEnd w:id="140"/>
      <w:bookmarkEnd w:id="141"/>
    </w:p>
    <w:p w14:paraId="3F34B9E6" w14:textId="77777777" w:rsidR="005841D0" w:rsidRDefault="005841D0" w:rsidP="005841D0">
      <w:pPr>
        <w:pStyle w:val="NormalParagraph"/>
      </w:pPr>
      <w:r>
        <w:t>T</w:t>
      </w:r>
      <w:r w:rsidRPr="00647588">
        <w:t>o increase awareness of the problem</w:t>
      </w:r>
      <w:r>
        <w:t xml:space="preserve">s associated with </w:t>
      </w:r>
      <w:r w:rsidRPr="00647588">
        <w:t xml:space="preserve">GT Leasing, </w:t>
      </w:r>
      <w:r>
        <w:t>MNOs</w:t>
      </w:r>
      <w:r w:rsidRPr="00647588">
        <w:t xml:space="preserve"> should consider using </w:t>
      </w:r>
      <w:r w:rsidRPr="00455115">
        <w:t xml:space="preserve">services that share threat intelligence. Various commercial solutions are available as well as </w:t>
      </w:r>
      <w:r w:rsidRPr="00647588">
        <w:t>the GSMA</w:t>
      </w:r>
      <w:r w:rsidRPr="00455115">
        <w:t>’s</w:t>
      </w:r>
      <w:r w:rsidRPr="00647588">
        <w:t xml:space="preserve"> </w:t>
      </w:r>
      <w:r>
        <w:t xml:space="preserve">T-ISAC </w:t>
      </w:r>
      <w:r w:rsidRPr="00647588">
        <w:t>MISP instance (misp.gsma.com). This applies equally to Target Operators</w:t>
      </w:r>
      <w:r>
        <w:t>,</w:t>
      </w:r>
      <w:r w:rsidRPr="00647588">
        <w:t xml:space="preserve"> as well as GT Lessors</w:t>
      </w:r>
      <w:r>
        <w:t>,</w:t>
      </w:r>
      <w:r w:rsidRPr="00647588">
        <w:t xml:space="preserve"> </w:t>
      </w:r>
      <w:proofErr w:type="gramStart"/>
      <w:r w:rsidRPr="00647588">
        <w:t>and also</w:t>
      </w:r>
      <w:proofErr w:type="gramEnd"/>
      <w:r w:rsidRPr="00647588">
        <w:t xml:space="preserve"> applies to other parties such as signalling firewall </w:t>
      </w:r>
      <w:r>
        <w:t>or other signalling security</w:t>
      </w:r>
      <w:r w:rsidRPr="00647588">
        <w:t xml:space="preserve"> providers, where they have the appropriate authorisation from their customers (typically</w:t>
      </w:r>
      <w:r>
        <w:t xml:space="preserve"> a Target Operator).</w:t>
      </w:r>
    </w:p>
    <w:p w14:paraId="11E5A98D" w14:textId="77777777" w:rsidR="005841D0" w:rsidRDefault="005841D0" w:rsidP="005841D0">
      <w:pPr>
        <w:pStyle w:val="NormalParagraph"/>
      </w:pPr>
    </w:p>
    <w:p w14:paraId="3116D623" w14:textId="77777777" w:rsidR="005841D0" w:rsidRDefault="005841D0" w:rsidP="00822E55">
      <w:pPr>
        <w:pStyle w:val="Annex"/>
        <w:keepNext w:val="0"/>
        <w:keepLines w:val="0"/>
        <w:pageBreakBefore/>
        <w:widowControl w:val="0"/>
      </w:pPr>
      <w:bookmarkStart w:id="142" w:name="_Ref117509799"/>
      <w:bookmarkStart w:id="143" w:name="_Ref117509880"/>
      <w:bookmarkStart w:id="144" w:name="_Toc216786463"/>
      <w:bookmarkStart w:id="145" w:name="_Toc209948274"/>
      <w:bookmarkStart w:id="146" w:name="_Toc327548013"/>
      <w:bookmarkStart w:id="147" w:name="_Toc327548213"/>
      <w:bookmarkStart w:id="148" w:name="_Ref329687100"/>
      <w:bookmarkStart w:id="149" w:name="_Toc85405271"/>
      <w:bookmarkEnd w:id="38"/>
      <w:bookmarkEnd w:id="39"/>
      <w:r>
        <w:lastRenderedPageBreak/>
        <w:t>Detailed Signalling Flow Diagrams</w:t>
      </w:r>
      <w:bookmarkEnd w:id="142"/>
      <w:bookmarkEnd w:id="143"/>
      <w:bookmarkEnd w:id="144"/>
    </w:p>
    <w:p w14:paraId="5421C159" w14:textId="77777777" w:rsidR="005841D0" w:rsidRPr="00A0389D" w:rsidRDefault="005841D0" w:rsidP="005841D0">
      <w:pPr>
        <w:pStyle w:val="ANNEX-heading1"/>
      </w:pPr>
      <w:bookmarkStart w:id="150" w:name="_Toc216786464"/>
      <w:r w:rsidRPr="00A0389D">
        <w:t>Routing via Lessor</w:t>
      </w:r>
      <w:bookmarkEnd w:id="150"/>
    </w:p>
    <w:p w14:paraId="2E035BDC" w14:textId="77777777" w:rsidR="005841D0" w:rsidRPr="00A86B56" w:rsidRDefault="005841D0" w:rsidP="005841D0">
      <w:pPr>
        <w:pStyle w:val="NormalParagraph"/>
      </w:pPr>
      <w:r>
        <w:fldChar w:fldCharType="begin"/>
      </w:r>
      <w:r>
        <w:instrText xml:space="preserve"> REF _Ref117512376 \r \h </w:instrText>
      </w:r>
      <w:r>
        <w:fldChar w:fldCharType="separate"/>
      </w:r>
      <w:r>
        <w:t>Figure 3</w:t>
      </w:r>
      <w:r>
        <w:fldChar w:fldCharType="end"/>
      </w:r>
      <w:r w:rsidRPr="00A86B56">
        <w:t xml:space="preserve"> illustrates the complete </w:t>
      </w:r>
      <w:r>
        <w:t>signalling</w:t>
      </w:r>
      <w:r w:rsidRPr="00A86B56">
        <w:t xml:space="preserve"> flow for </w:t>
      </w:r>
      <w:r>
        <w:t>R</w:t>
      </w:r>
      <w:r w:rsidRPr="00A86B56">
        <w:t xml:space="preserve">outing via </w:t>
      </w:r>
      <w:r>
        <w:t>L</w:t>
      </w:r>
      <w:r w:rsidRPr="00A86B56">
        <w:t>essor</w:t>
      </w:r>
      <w:r>
        <w:t>,</w:t>
      </w:r>
      <w:r w:rsidRPr="00A86B56">
        <w:t xml:space="preserve"> complete with illustrative calling and called party addresses as well as point codes</w:t>
      </w:r>
      <w:r>
        <w:t xml:space="preserve"> and Global Title Translation (GTT)</w:t>
      </w:r>
      <w:r w:rsidRPr="00A86B56">
        <w:t>.</w:t>
      </w:r>
    </w:p>
    <w:p w14:paraId="51E7C94F" w14:textId="77777777" w:rsidR="005841D0" w:rsidRDefault="005841D0" w:rsidP="005841D0">
      <w:pPr>
        <w:pStyle w:val="NormalParagraph"/>
        <w:rPr>
          <w:lang w:eastAsia="zh-CN" w:bidi="bn-BD"/>
        </w:rPr>
      </w:pPr>
      <w:r w:rsidRPr="005A62AF">
        <w:rPr>
          <w:noProof/>
          <w:lang w:val="de-DE" w:eastAsia="de-DE"/>
        </w:rPr>
        <w:drawing>
          <wp:inline distT="0" distB="0" distL="0" distR="0" wp14:anchorId="00154697" wp14:editId="4B41CBB2">
            <wp:extent cx="5731510" cy="4039086"/>
            <wp:effectExtent l="0" t="0" r="254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20"/>
                    <a:stretch>
                      <a:fillRect/>
                    </a:stretch>
                  </pic:blipFill>
                  <pic:spPr>
                    <a:xfrm>
                      <a:off x="0" y="0"/>
                      <a:ext cx="5731510" cy="4039086"/>
                    </a:xfrm>
                    <a:prstGeom prst="rect">
                      <a:avLst/>
                    </a:prstGeom>
                  </pic:spPr>
                </pic:pic>
              </a:graphicData>
            </a:graphic>
          </wp:inline>
        </w:drawing>
      </w:r>
    </w:p>
    <w:p w14:paraId="4422B2FE" w14:textId="77777777" w:rsidR="005841D0" w:rsidRDefault="005841D0" w:rsidP="005841D0">
      <w:pPr>
        <w:pStyle w:val="Figurecaption"/>
      </w:pPr>
      <w:r>
        <w:t xml:space="preserve"> </w:t>
      </w:r>
      <w:bookmarkStart w:id="151" w:name="_Ref117512376"/>
      <w:r>
        <w:t xml:space="preserve">– Routing via Lessor </w:t>
      </w:r>
      <w:proofErr w:type="spellStart"/>
      <w:r>
        <w:t>Signalling</w:t>
      </w:r>
      <w:proofErr w:type="spellEnd"/>
      <w:r>
        <w:t xml:space="preserve"> Flow</w:t>
      </w:r>
      <w:bookmarkEnd w:id="151"/>
    </w:p>
    <w:p w14:paraId="02398535" w14:textId="77777777" w:rsidR="005841D0" w:rsidRPr="00A0389D" w:rsidRDefault="005841D0" w:rsidP="005841D0">
      <w:pPr>
        <w:pStyle w:val="ANNEX-heading1"/>
      </w:pPr>
      <w:bookmarkStart w:id="152" w:name="_Toc216786465"/>
      <w:r w:rsidRPr="00A0389D">
        <w:t xml:space="preserve">Routing </w:t>
      </w:r>
      <w:r>
        <w:t>to Lessee Only</w:t>
      </w:r>
      <w:bookmarkEnd w:id="152"/>
    </w:p>
    <w:p w14:paraId="73B7E7F1" w14:textId="77777777" w:rsidR="005841D0" w:rsidRDefault="005841D0" w:rsidP="005841D0">
      <w:pPr>
        <w:pStyle w:val="NormalParagraph"/>
      </w:pPr>
      <w:r>
        <w:fldChar w:fldCharType="begin"/>
      </w:r>
      <w:r>
        <w:instrText xml:space="preserve"> REF _Ref117512392 \r \h </w:instrText>
      </w:r>
      <w:r>
        <w:fldChar w:fldCharType="separate"/>
      </w:r>
      <w:r>
        <w:t>Figure 4</w:t>
      </w:r>
      <w:r>
        <w:fldChar w:fldCharType="end"/>
      </w:r>
      <w:r>
        <w:t xml:space="preserve"> illustrates the complete signalling flow for Routing via Lessee Only, complete with illustrative calling and called party addresses as well as point codes and Global Title Translation (GTT).</w:t>
      </w:r>
    </w:p>
    <w:p w14:paraId="7149F067" w14:textId="77777777" w:rsidR="005841D0" w:rsidRDefault="005841D0" w:rsidP="005841D0">
      <w:pPr>
        <w:pStyle w:val="NormalParagraph"/>
      </w:pPr>
      <w:r w:rsidRPr="009A3C6D">
        <w:rPr>
          <w:noProof/>
          <w:lang w:val="de-DE" w:eastAsia="de-DE"/>
        </w:rPr>
        <w:lastRenderedPageBreak/>
        <w:drawing>
          <wp:inline distT="0" distB="0" distL="0" distR="0" wp14:anchorId="36305863" wp14:editId="77BBA494">
            <wp:extent cx="5731510" cy="4053962"/>
            <wp:effectExtent l="0" t="0" r="2540" b="381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21"/>
                    <a:stretch>
                      <a:fillRect/>
                    </a:stretch>
                  </pic:blipFill>
                  <pic:spPr>
                    <a:xfrm>
                      <a:off x="0" y="0"/>
                      <a:ext cx="5731510" cy="4053962"/>
                    </a:xfrm>
                    <a:prstGeom prst="rect">
                      <a:avLst/>
                    </a:prstGeom>
                  </pic:spPr>
                </pic:pic>
              </a:graphicData>
            </a:graphic>
          </wp:inline>
        </w:drawing>
      </w:r>
    </w:p>
    <w:p w14:paraId="3C9886E5" w14:textId="77777777" w:rsidR="005841D0" w:rsidRPr="00326698" w:rsidRDefault="005841D0" w:rsidP="005841D0">
      <w:pPr>
        <w:pStyle w:val="Figurecaption"/>
      </w:pPr>
      <w:r>
        <w:t xml:space="preserve"> </w:t>
      </w:r>
      <w:bookmarkStart w:id="153" w:name="_Ref117512392"/>
      <w:r>
        <w:t xml:space="preserve">– Routing via Lessee Only </w:t>
      </w:r>
      <w:proofErr w:type="spellStart"/>
      <w:r>
        <w:t>Signalling</w:t>
      </w:r>
      <w:proofErr w:type="spellEnd"/>
      <w:r>
        <w:t xml:space="preserve"> Flow</w:t>
      </w:r>
      <w:bookmarkEnd w:id="153"/>
    </w:p>
    <w:p w14:paraId="427BD330" w14:textId="77777777" w:rsidR="005841D0" w:rsidRDefault="005841D0" w:rsidP="005841D0">
      <w:pPr>
        <w:spacing w:before="0"/>
        <w:jc w:val="left"/>
        <w:rPr>
          <w:b/>
          <w:sz w:val="28"/>
        </w:rPr>
      </w:pPr>
      <w:bookmarkStart w:id="154" w:name="_Ref112398817"/>
      <w:bookmarkEnd w:id="145"/>
      <w:bookmarkEnd w:id="146"/>
      <w:bookmarkEnd w:id="147"/>
      <w:bookmarkEnd w:id="148"/>
      <w:bookmarkEnd w:id="149"/>
      <w:r>
        <w:br w:type="page"/>
      </w:r>
    </w:p>
    <w:p w14:paraId="2361A3AB" w14:textId="77777777" w:rsidR="005841D0" w:rsidRDefault="005841D0" w:rsidP="005841D0">
      <w:pPr>
        <w:pStyle w:val="Annex"/>
        <w:keepNext w:val="0"/>
        <w:keepLines w:val="0"/>
        <w:pageBreakBefore/>
        <w:widowControl w:val="0"/>
      </w:pPr>
      <w:bookmarkStart w:id="155" w:name="_Toc216786466"/>
      <w:r>
        <w:lastRenderedPageBreak/>
        <w:t>Appropriate IR.21 Management</w:t>
      </w:r>
      <w:bookmarkEnd w:id="155"/>
    </w:p>
    <w:p w14:paraId="73D098AE" w14:textId="77777777" w:rsidR="005841D0" w:rsidRDefault="005841D0" w:rsidP="005841D0">
      <w:pPr>
        <w:pStyle w:val="NormalParagraph"/>
      </w:pPr>
      <w:r>
        <w:t xml:space="preserve">It is important that MNOs fully break out number ranges down to the individual ranges assigned to all individual operators. An example of this is contained in </w:t>
      </w:r>
      <w:r>
        <w:fldChar w:fldCharType="begin"/>
      </w:r>
      <w:r>
        <w:instrText xml:space="preserve"> REF _Ref117512520 \r \h </w:instrText>
      </w:r>
      <w:r>
        <w:fldChar w:fldCharType="separate"/>
      </w:r>
      <w:r>
        <w:t>Table 1</w:t>
      </w:r>
      <w:r>
        <w:fldChar w:fldCharType="end"/>
      </w:r>
      <w:r>
        <w:t xml:space="preserv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880"/>
      </w:tblGrid>
      <w:tr w:rsidR="005841D0" w:rsidRPr="00427F8A" w14:paraId="59B31E73" w14:textId="77777777" w:rsidTr="00BC2E54">
        <w:trPr>
          <w:cantSplit/>
          <w:tblHeader/>
          <w:jc w:val="center"/>
        </w:trPr>
        <w:tc>
          <w:tcPr>
            <w:tcW w:w="1234" w:type="dxa"/>
            <w:shd w:val="clear" w:color="auto" w:fill="DE002B"/>
          </w:tcPr>
          <w:p w14:paraId="247E48F1" w14:textId="77777777" w:rsidR="005841D0" w:rsidRPr="00427F8A" w:rsidRDefault="005841D0" w:rsidP="00BC2E54">
            <w:pPr>
              <w:pStyle w:val="TableHeader"/>
            </w:pPr>
            <w:r>
              <w:t>Range</w:t>
            </w:r>
          </w:p>
        </w:tc>
        <w:tc>
          <w:tcPr>
            <w:tcW w:w="1880" w:type="dxa"/>
            <w:shd w:val="clear" w:color="auto" w:fill="DE002B"/>
          </w:tcPr>
          <w:p w14:paraId="1BC1179A" w14:textId="77777777" w:rsidR="005841D0" w:rsidRPr="00427F8A" w:rsidRDefault="005841D0" w:rsidP="00BC2E54">
            <w:pPr>
              <w:pStyle w:val="TableHeader"/>
            </w:pPr>
            <w:r>
              <w:t>GT</w:t>
            </w:r>
          </w:p>
        </w:tc>
      </w:tr>
      <w:tr w:rsidR="005841D0" w:rsidRPr="00737B53" w14:paraId="49C8ACF6" w14:textId="77777777" w:rsidTr="00BC2E54">
        <w:trPr>
          <w:jc w:val="center"/>
        </w:trPr>
        <w:tc>
          <w:tcPr>
            <w:tcW w:w="1234" w:type="dxa"/>
            <w:vAlign w:val="center"/>
          </w:tcPr>
          <w:p w14:paraId="47A401C3" w14:textId="77777777" w:rsidR="005841D0" w:rsidRPr="00737B53" w:rsidRDefault="005841D0" w:rsidP="00BC2E54">
            <w:pPr>
              <w:pStyle w:val="TableText"/>
            </w:pPr>
            <w:r w:rsidRPr="00737B53">
              <w:t>100</w:t>
            </w:r>
          </w:p>
        </w:tc>
        <w:tc>
          <w:tcPr>
            <w:tcW w:w="1880" w:type="dxa"/>
            <w:vAlign w:val="center"/>
          </w:tcPr>
          <w:p w14:paraId="79E46376" w14:textId="77777777" w:rsidR="005841D0" w:rsidRPr="00737B53" w:rsidRDefault="005841D0" w:rsidP="00BC2E54">
            <w:pPr>
              <w:pStyle w:val="TableText"/>
            </w:pPr>
            <w:r w:rsidRPr="00737B53">
              <w:t>Operator A</w:t>
            </w:r>
          </w:p>
        </w:tc>
      </w:tr>
      <w:tr w:rsidR="005841D0" w:rsidRPr="00737B53" w14:paraId="5F5FC67F" w14:textId="77777777" w:rsidTr="00BC2E54">
        <w:trPr>
          <w:jc w:val="center"/>
        </w:trPr>
        <w:tc>
          <w:tcPr>
            <w:tcW w:w="1234" w:type="dxa"/>
          </w:tcPr>
          <w:p w14:paraId="32A04664" w14:textId="77777777" w:rsidR="005841D0" w:rsidRPr="00737B53" w:rsidRDefault="005841D0" w:rsidP="00BC2E54">
            <w:pPr>
              <w:pStyle w:val="TableText"/>
            </w:pPr>
            <w:r w:rsidRPr="00737B53">
              <w:t>101</w:t>
            </w:r>
          </w:p>
        </w:tc>
        <w:tc>
          <w:tcPr>
            <w:tcW w:w="1880" w:type="dxa"/>
          </w:tcPr>
          <w:p w14:paraId="49B928D1" w14:textId="77777777" w:rsidR="005841D0" w:rsidRPr="00737B53" w:rsidRDefault="005841D0" w:rsidP="00BC2E54">
            <w:pPr>
              <w:pStyle w:val="TableText"/>
            </w:pPr>
            <w:r w:rsidRPr="00737B53">
              <w:t>Operator A</w:t>
            </w:r>
          </w:p>
        </w:tc>
      </w:tr>
      <w:tr w:rsidR="005841D0" w:rsidRPr="00737B53" w14:paraId="0A8F3133" w14:textId="77777777" w:rsidTr="00BC2E54">
        <w:trPr>
          <w:jc w:val="center"/>
        </w:trPr>
        <w:tc>
          <w:tcPr>
            <w:tcW w:w="1234" w:type="dxa"/>
          </w:tcPr>
          <w:p w14:paraId="784ED78A" w14:textId="77777777" w:rsidR="005841D0" w:rsidRPr="00737B53" w:rsidRDefault="005841D0" w:rsidP="00BC2E54">
            <w:pPr>
              <w:pStyle w:val="TableText"/>
            </w:pPr>
            <w:r w:rsidRPr="00737B53">
              <w:t>102</w:t>
            </w:r>
          </w:p>
        </w:tc>
        <w:tc>
          <w:tcPr>
            <w:tcW w:w="1880" w:type="dxa"/>
          </w:tcPr>
          <w:p w14:paraId="03AFCE6F" w14:textId="77777777" w:rsidR="005841D0" w:rsidRPr="00737B53" w:rsidRDefault="005841D0" w:rsidP="00BC2E54">
            <w:pPr>
              <w:pStyle w:val="TableText"/>
            </w:pPr>
            <w:r w:rsidRPr="00737B53">
              <w:t>Operator A</w:t>
            </w:r>
          </w:p>
        </w:tc>
      </w:tr>
      <w:tr w:rsidR="005841D0" w:rsidRPr="00737B53" w14:paraId="089ECD35" w14:textId="77777777" w:rsidTr="00BC2E54">
        <w:trPr>
          <w:jc w:val="center"/>
        </w:trPr>
        <w:tc>
          <w:tcPr>
            <w:tcW w:w="1234" w:type="dxa"/>
          </w:tcPr>
          <w:p w14:paraId="325F1FD6" w14:textId="77777777" w:rsidR="005841D0" w:rsidRPr="00737B53" w:rsidRDefault="005841D0" w:rsidP="00BC2E54">
            <w:pPr>
              <w:pStyle w:val="TableText"/>
            </w:pPr>
            <w:r w:rsidRPr="00737B53">
              <w:t>103</w:t>
            </w:r>
          </w:p>
        </w:tc>
        <w:tc>
          <w:tcPr>
            <w:tcW w:w="1880" w:type="dxa"/>
          </w:tcPr>
          <w:p w14:paraId="065511F6" w14:textId="77777777" w:rsidR="005841D0" w:rsidRPr="00737B53" w:rsidRDefault="005841D0" w:rsidP="00BC2E54">
            <w:pPr>
              <w:pStyle w:val="TableText"/>
            </w:pPr>
            <w:r w:rsidRPr="00737B53">
              <w:t>Operator A</w:t>
            </w:r>
          </w:p>
        </w:tc>
      </w:tr>
      <w:tr w:rsidR="005841D0" w:rsidRPr="00737B53" w14:paraId="42BBEA63" w14:textId="77777777" w:rsidTr="00BC2E54">
        <w:trPr>
          <w:jc w:val="center"/>
        </w:trPr>
        <w:tc>
          <w:tcPr>
            <w:tcW w:w="1234" w:type="dxa"/>
          </w:tcPr>
          <w:p w14:paraId="4F331EA1" w14:textId="77777777" w:rsidR="005841D0" w:rsidRPr="00737B53" w:rsidRDefault="005841D0" w:rsidP="00BC2E54">
            <w:pPr>
              <w:pStyle w:val="TableText"/>
            </w:pPr>
            <w:r w:rsidRPr="00737B53">
              <w:t>104</w:t>
            </w:r>
          </w:p>
        </w:tc>
        <w:tc>
          <w:tcPr>
            <w:tcW w:w="1880" w:type="dxa"/>
          </w:tcPr>
          <w:p w14:paraId="772ADF0D" w14:textId="77777777" w:rsidR="005841D0" w:rsidRPr="00737B53" w:rsidRDefault="005841D0" w:rsidP="00BC2E54">
            <w:pPr>
              <w:pStyle w:val="TableText"/>
            </w:pPr>
            <w:r w:rsidRPr="00737B53">
              <w:t>Operator B</w:t>
            </w:r>
          </w:p>
        </w:tc>
      </w:tr>
      <w:tr w:rsidR="005841D0" w:rsidRPr="00737B53" w14:paraId="3CAF5BE5" w14:textId="77777777" w:rsidTr="00BC2E54">
        <w:trPr>
          <w:jc w:val="center"/>
        </w:trPr>
        <w:tc>
          <w:tcPr>
            <w:tcW w:w="1234" w:type="dxa"/>
          </w:tcPr>
          <w:p w14:paraId="3E1BAAC3" w14:textId="77777777" w:rsidR="005841D0" w:rsidRPr="00737B53" w:rsidRDefault="005841D0" w:rsidP="00BC2E54">
            <w:pPr>
              <w:pStyle w:val="TableText"/>
            </w:pPr>
            <w:r w:rsidRPr="00737B53">
              <w:t>105</w:t>
            </w:r>
          </w:p>
        </w:tc>
        <w:tc>
          <w:tcPr>
            <w:tcW w:w="1880" w:type="dxa"/>
          </w:tcPr>
          <w:p w14:paraId="4672C9AA" w14:textId="77777777" w:rsidR="005841D0" w:rsidRPr="00737B53" w:rsidRDefault="005841D0" w:rsidP="00BC2E54">
            <w:pPr>
              <w:pStyle w:val="TableText"/>
            </w:pPr>
            <w:r w:rsidRPr="00737B53">
              <w:t>Operator A</w:t>
            </w:r>
          </w:p>
        </w:tc>
      </w:tr>
      <w:tr w:rsidR="005841D0" w:rsidRPr="00737B53" w14:paraId="460A4783" w14:textId="77777777" w:rsidTr="00BC2E54">
        <w:trPr>
          <w:jc w:val="center"/>
        </w:trPr>
        <w:tc>
          <w:tcPr>
            <w:tcW w:w="1234" w:type="dxa"/>
          </w:tcPr>
          <w:p w14:paraId="2E653191" w14:textId="77777777" w:rsidR="005841D0" w:rsidRPr="00737B53" w:rsidRDefault="005841D0" w:rsidP="00BC2E54">
            <w:pPr>
              <w:pStyle w:val="TableText"/>
            </w:pPr>
            <w:r w:rsidRPr="00737B53">
              <w:t>106</w:t>
            </w:r>
          </w:p>
        </w:tc>
        <w:tc>
          <w:tcPr>
            <w:tcW w:w="1880" w:type="dxa"/>
          </w:tcPr>
          <w:p w14:paraId="7B2B4530" w14:textId="77777777" w:rsidR="005841D0" w:rsidRPr="00737B53" w:rsidRDefault="005841D0" w:rsidP="00BC2E54">
            <w:pPr>
              <w:pStyle w:val="TableText"/>
            </w:pPr>
            <w:r w:rsidRPr="00737B53">
              <w:t>Operator A</w:t>
            </w:r>
          </w:p>
        </w:tc>
      </w:tr>
      <w:tr w:rsidR="005841D0" w:rsidRPr="00737B53" w14:paraId="2BFD05FC" w14:textId="77777777" w:rsidTr="00BC2E54">
        <w:trPr>
          <w:jc w:val="center"/>
        </w:trPr>
        <w:tc>
          <w:tcPr>
            <w:tcW w:w="1234" w:type="dxa"/>
          </w:tcPr>
          <w:p w14:paraId="136636D9" w14:textId="77777777" w:rsidR="005841D0" w:rsidRPr="00737B53" w:rsidRDefault="005841D0" w:rsidP="00BC2E54">
            <w:pPr>
              <w:pStyle w:val="TableText"/>
            </w:pPr>
            <w:r w:rsidRPr="00737B53">
              <w:t>107</w:t>
            </w:r>
          </w:p>
        </w:tc>
        <w:tc>
          <w:tcPr>
            <w:tcW w:w="1880" w:type="dxa"/>
          </w:tcPr>
          <w:p w14:paraId="5352D688" w14:textId="77777777" w:rsidR="005841D0" w:rsidRPr="00737B53" w:rsidRDefault="005841D0" w:rsidP="00BC2E54">
            <w:pPr>
              <w:pStyle w:val="TableText"/>
            </w:pPr>
            <w:r w:rsidRPr="00737B53">
              <w:t>Operator A</w:t>
            </w:r>
          </w:p>
        </w:tc>
      </w:tr>
      <w:tr w:rsidR="005841D0" w:rsidRPr="00737B53" w14:paraId="6871944C" w14:textId="77777777" w:rsidTr="00BC2E54">
        <w:trPr>
          <w:jc w:val="center"/>
        </w:trPr>
        <w:tc>
          <w:tcPr>
            <w:tcW w:w="1234" w:type="dxa"/>
          </w:tcPr>
          <w:p w14:paraId="24DB6193" w14:textId="77777777" w:rsidR="005841D0" w:rsidRPr="00737B53" w:rsidRDefault="005841D0" w:rsidP="00BC2E54">
            <w:pPr>
              <w:pStyle w:val="TableText"/>
            </w:pPr>
            <w:r w:rsidRPr="00737B53">
              <w:t>108</w:t>
            </w:r>
          </w:p>
        </w:tc>
        <w:tc>
          <w:tcPr>
            <w:tcW w:w="1880" w:type="dxa"/>
          </w:tcPr>
          <w:p w14:paraId="0F3B13C1" w14:textId="77777777" w:rsidR="005841D0" w:rsidRPr="00737B53" w:rsidRDefault="005841D0" w:rsidP="00BC2E54">
            <w:pPr>
              <w:pStyle w:val="TableText"/>
            </w:pPr>
            <w:r w:rsidRPr="00737B53">
              <w:t>Operator A</w:t>
            </w:r>
          </w:p>
        </w:tc>
      </w:tr>
      <w:tr w:rsidR="005841D0" w:rsidRPr="00737B53" w14:paraId="6F8D29A7" w14:textId="77777777" w:rsidTr="00BC2E54">
        <w:trPr>
          <w:jc w:val="center"/>
        </w:trPr>
        <w:tc>
          <w:tcPr>
            <w:tcW w:w="1234" w:type="dxa"/>
          </w:tcPr>
          <w:p w14:paraId="685328DC" w14:textId="77777777" w:rsidR="005841D0" w:rsidRPr="00737B53" w:rsidRDefault="005841D0" w:rsidP="00BC2E54">
            <w:pPr>
              <w:pStyle w:val="TableText"/>
            </w:pPr>
            <w:r w:rsidRPr="00737B53">
              <w:t>109</w:t>
            </w:r>
          </w:p>
        </w:tc>
        <w:tc>
          <w:tcPr>
            <w:tcW w:w="1880" w:type="dxa"/>
          </w:tcPr>
          <w:p w14:paraId="5953666C" w14:textId="77777777" w:rsidR="005841D0" w:rsidRPr="00737B53" w:rsidRDefault="005841D0" w:rsidP="00BC2E54">
            <w:pPr>
              <w:pStyle w:val="TableText"/>
            </w:pPr>
            <w:r w:rsidRPr="00737B53">
              <w:t>Operator A</w:t>
            </w:r>
          </w:p>
        </w:tc>
      </w:tr>
      <w:tr w:rsidR="005841D0" w:rsidRPr="00737B53" w14:paraId="5891F8FF" w14:textId="77777777" w:rsidTr="00BC2E54">
        <w:trPr>
          <w:jc w:val="center"/>
        </w:trPr>
        <w:tc>
          <w:tcPr>
            <w:tcW w:w="1234" w:type="dxa"/>
          </w:tcPr>
          <w:p w14:paraId="1583E581" w14:textId="77777777" w:rsidR="005841D0" w:rsidRPr="00737B53" w:rsidRDefault="005841D0" w:rsidP="00BC2E54">
            <w:pPr>
              <w:pStyle w:val="TableText"/>
            </w:pPr>
            <w:r w:rsidRPr="00737B53">
              <w:t>110</w:t>
            </w:r>
          </w:p>
        </w:tc>
        <w:tc>
          <w:tcPr>
            <w:tcW w:w="1880" w:type="dxa"/>
          </w:tcPr>
          <w:p w14:paraId="000846D5" w14:textId="77777777" w:rsidR="005841D0" w:rsidRPr="00737B53" w:rsidRDefault="005841D0" w:rsidP="00BC2E54">
            <w:pPr>
              <w:pStyle w:val="TableText"/>
            </w:pPr>
            <w:r w:rsidRPr="00737B53">
              <w:t>Operator A</w:t>
            </w:r>
          </w:p>
        </w:tc>
      </w:tr>
    </w:tbl>
    <w:p w14:paraId="730A4180" w14:textId="19CC5089" w:rsidR="005841D0" w:rsidRDefault="005841D0" w:rsidP="005841D0">
      <w:pPr>
        <w:pStyle w:val="TableCaption"/>
      </w:pPr>
      <w:bookmarkStart w:id="156" w:name="_Ref117512520"/>
      <w:r>
        <w:t xml:space="preserve"> – Example of Number Range Break-Out</w:t>
      </w:r>
      <w:bookmarkEnd w:id="156"/>
    </w:p>
    <w:p w14:paraId="6B7FC46F" w14:textId="77777777" w:rsidR="005841D0" w:rsidRDefault="005841D0" w:rsidP="005841D0">
      <w:pPr>
        <w:pStyle w:val="NormalParagraph"/>
      </w:pPr>
      <w:r>
        <w:t xml:space="preserve">In </w:t>
      </w:r>
      <w:r>
        <w:fldChar w:fldCharType="begin"/>
      </w:r>
      <w:r>
        <w:instrText xml:space="preserve"> REF _Ref117512520 \r \h </w:instrText>
      </w:r>
      <w:r>
        <w:fldChar w:fldCharType="separate"/>
      </w:r>
      <w:r>
        <w:t>Table 1</w:t>
      </w:r>
      <w:r>
        <w:fldChar w:fldCharType="end"/>
      </w:r>
      <w:r>
        <w:t xml:space="preserve"> GT 104 is assigned to Operator B, whereas all other GTs beginning with 10 belong to Operator A. It is therefore important that MNOs configure each GT separately to ensure that Operator B is correctly identified. If MNOs assume that all GTs commencing with 10 belong to Operator A, then any traffic originating from Operator B will not be correctly attributed.</w:t>
      </w:r>
    </w:p>
    <w:p w14:paraId="1F9FB6C2" w14:textId="549BB881" w:rsidR="005841D0" w:rsidRPr="00C37F17" w:rsidRDefault="005841D0" w:rsidP="005841D0">
      <w:pPr>
        <w:pStyle w:val="NormalParagraph"/>
      </w:pPr>
      <w:r>
        <w:t>When configuring their systems, it is important for MNOs to break</w:t>
      </w:r>
      <w:r w:rsidR="00EE0821">
        <w:t xml:space="preserve"> </w:t>
      </w:r>
      <w:r>
        <w:t>out IR.21 defined GT ranges to a level of detail necessary to unambiguously identify the appropriate operator and exclude ranges that are not within the IR.21 data. There should not be a scenario where a GT range is allocated to multiple operators</w:t>
      </w:r>
      <w:r w:rsidRPr="004A63A9">
        <w:t xml:space="preserve">. </w:t>
      </w:r>
    </w:p>
    <w:p w14:paraId="4D3301A0" w14:textId="77777777" w:rsidR="005841D0" w:rsidRPr="00584D10" w:rsidRDefault="005841D0" w:rsidP="005841D0">
      <w:pPr>
        <w:pStyle w:val="Annex"/>
        <w:keepNext w:val="0"/>
        <w:keepLines w:val="0"/>
        <w:pageBreakBefore/>
        <w:widowControl w:val="0"/>
      </w:pPr>
      <w:bookmarkStart w:id="157" w:name="_Toc216786467"/>
      <w:bookmarkEnd w:id="154"/>
      <w:r>
        <w:lastRenderedPageBreak/>
        <w:t>Document Management</w:t>
      </w:r>
      <w:bookmarkEnd w:id="157"/>
    </w:p>
    <w:p w14:paraId="38D2261A" w14:textId="77777777" w:rsidR="005841D0" w:rsidRDefault="005841D0" w:rsidP="005841D0">
      <w:pPr>
        <w:pStyle w:val="ANNEX-heading1"/>
      </w:pPr>
      <w:bookmarkStart w:id="158" w:name="_Toc327548014"/>
      <w:bookmarkStart w:id="159" w:name="_Toc327548214"/>
      <w:bookmarkStart w:id="160" w:name="_Toc85405272"/>
      <w:bookmarkStart w:id="161" w:name="_Toc216786468"/>
      <w:r w:rsidRPr="00876BEE">
        <w:t>Document History</w:t>
      </w:r>
      <w:bookmarkEnd w:id="158"/>
      <w:bookmarkEnd w:id="159"/>
      <w:bookmarkEnd w:id="160"/>
      <w:bookmarkEnd w:id="1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239"/>
        <w:gridCol w:w="3200"/>
        <w:gridCol w:w="1194"/>
        <w:gridCol w:w="2314"/>
      </w:tblGrid>
      <w:tr w:rsidR="005841D0" w:rsidRPr="00A14F29" w14:paraId="0DB4A9F9" w14:textId="77777777" w:rsidTr="00BC2E54">
        <w:trPr>
          <w:tblHeader/>
        </w:trPr>
        <w:tc>
          <w:tcPr>
            <w:tcW w:w="1069" w:type="dxa"/>
            <w:shd w:val="clear" w:color="auto" w:fill="C00000"/>
          </w:tcPr>
          <w:p w14:paraId="710C7827" w14:textId="77777777" w:rsidR="005841D0" w:rsidRPr="00C25E2B" w:rsidRDefault="005841D0" w:rsidP="00BC2E54">
            <w:pPr>
              <w:pStyle w:val="TableHeader"/>
            </w:pPr>
            <w:r w:rsidRPr="00C25E2B">
              <w:t>Version</w:t>
            </w:r>
          </w:p>
        </w:tc>
        <w:tc>
          <w:tcPr>
            <w:tcW w:w="1239" w:type="dxa"/>
            <w:shd w:val="clear" w:color="auto" w:fill="C00000"/>
          </w:tcPr>
          <w:p w14:paraId="066A5FAA" w14:textId="77777777" w:rsidR="005841D0" w:rsidRPr="00C25E2B" w:rsidRDefault="005841D0" w:rsidP="00BC2E54">
            <w:pPr>
              <w:pStyle w:val="TableHeader"/>
            </w:pPr>
            <w:r w:rsidRPr="00C25E2B">
              <w:t>Date</w:t>
            </w:r>
          </w:p>
        </w:tc>
        <w:tc>
          <w:tcPr>
            <w:tcW w:w="3200" w:type="dxa"/>
            <w:shd w:val="clear" w:color="auto" w:fill="C00000"/>
          </w:tcPr>
          <w:p w14:paraId="39E4BB06" w14:textId="77777777" w:rsidR="005841D0" w:rsidRPr="00C25E2B" w:rsidRDefault="005841D0" w:rsidP="00BC2E54">
            <w:pPr>
              <w:pStyle w:val="TableHeader"/>
            </w:pPr>
            <w:r w:rsidRPr="00C25E2B">
              <w:t>Brief Description of Change</w:t>
            </w:r>
          </w:p>
        </w:tc>
        <w:tc>
          <w:tcPr>
            <w:tcW w:w="1194" w:type="dxa"/>
            <w:shd w:val="clear" w:color="auto" w:fill="C00000"/>
          </w:tcPr>
          <w:p w14:paraId="16E7ACD9" w14:textId="77777777" w:rsidR="005841D0" w:rsidRPr="00C25E2B" w:rsidRDefault="005841D0" w:rsidP="00BC2E54">
            <w:pPr>
              <w:pStyle w:val="TableHeader"/>
            </w:pPr>
            <w:r w:rsidRPr="00C25E2B">
              <w:t>Approval Authority</w:t>
            </w:r>
          </w:p>
        </w:tc>
        <w:tc>
          <w:tcPr>
            <w:tcW w:w="2314" w:type="dxa"/>
            <w:shd w:val="clear" w:color="auto" w:fill="C00000"/>
          </w:tcPr>
          <w:p w14:paraId="50DEC83D" w14:textId="77777777" w:rsidR="005841D0" w:rsidRPr="00C25E2B" w:rsidRDefault="005841D0" w:rsidP="00BC2E54">
            <w:pPr>
              <w:pStyle w:val="TableHeader"/>
            </w:pPr>
            <w:r w:rsidRPr="00C25E2B">
              <w:t>Editor / Company</w:t>
            </w:r>
          </w:p>
        </w:tc>
      </w:tr>
      <w:tr w:rsidR="005841D0" w:rsidRPr="00A14F29" w14:paraId="02A30670" w14:textId="77777777" w:rsidTr="00BC2E54">
        <w:tc>
          <w:tcPr>
            <w:tcW w:w="1069" w:type="dxa"/>
          </w:tcPr>
          <w:p w14:paraId="66E978D1" w14:textId="77777777" w:rsidR="005841D0" w:rsidRPr="00C6177A" w:rsidRDefault="005841D0" w:rsidP="00BC2E54">
            <w:pPr>
              <w:pStyle w:val="TableText"/>
            </w:pPr>
            <w:r>
              <w:t>1.0</w:t>
            </w:r>
          </w:p>
        </w:tc>
        <w:tc>
          <w:tcPr>
            <w:tcW w:w="1239" w:type="dxa"/>
          </w:tcPr>
          <w:p w14:paraId="25CCCF15" w14:textId="77777777" w:rsidR="005841D0" w:rsidRPr="00C6177A" w:rsidRDefault="005841D0" w:rsidP="00BC2E54">
            <w:pPr>
              <w:pStyle w:val="TableText"/>
            </w:pPr>
            <w:r>
              <w:t>28 Mar 2023</w:t>
            </w:r>
          </w:p>
        </w:tc>
        <w:tc>
          <w:tcPr>
            <w:tcW w:w="3200" w:type="dxa"/>
          </w:tcPr>
          <w:p w14:paraId="3D311459" w14:textId="77777777" w:rsidR="005841D0" w:rsidRPr="00C6177A" w:rsidRDefault="005841D0" w:rsidP="00BC2E54">
            <w:pPr>
              <w:pStyle w:val="TableText"/>
            </w:pPr>
            <w:r>
              <w:t>First version.</w:t>
            </w:r>
          </w:p>
        </w:tc>
        <w:tc>
          <w:tcPr>
            <w:tcW w:w="1194" w:type="dxa"/>
          </w:tcPr>
          <w:p w14:paraId="1EE66B42" w14:textId="77777777" w:rsidR="005841D0" w:rsidRPr="00C6177A" w:rsidRDefault="005841D0" w:rsidP="00BC2E54">
            <w:pPr>
              <w:pStyle w:val="TableText"/>
            </w:pPr>
            <w:r>
              <w:t>ISAG</w:t>
            </w:r>
          </w:p>
        </w:tc>
        <w:tc>
          <w:tcPr>
            <w:tcW w:w="2314" w:type="dxa"/>
            <w:vAlign w:val="center"/>
          </w:tcPr>
          <w:p w14:paraId="08AD7D0D" w14:textId="77777777" w:rsidR="005841D0" w:rsidRPr="00C6177A" w:rsidRDefault="005841D0" w:rsidP="00BC2E54">
            <w:pPr>
              <w:pStyle w:val="TableText"/>
            </w:pPr>
            <w:r>
              <w:t xml:space="preserve">Stephen Ornadel, </w:t>
            </w:r>
            <w:proofErr w:type="spellStart"/>
            <w:r>
              <w:t>Mobileum</w:t>
            </w:r>
            <w:proofErr w:type="spellEnd"/>
            <w:r>
              <w:t>.</w:t>
            </w:r>
          </w:p>
        </w:tc>
      </w:tr>
      <w:tr w:rsidR="005841D0" w:rsidRPr="00A14F29" w14:paraId="4C3967F1" w14:textId="77777777" w:rsidTr="00BC2E54">
        <w:tc>
          <w:tcPr>
            <w:tcW w:w="1069" w:type="dxa"/>
          </w:tcPr>
          <w:p w14:paraId="433A9855" w14:textId="77777777" w:rsidR="005841D0" w:rsidRDefault="005841D0" w:rsidP="00BC2E54">
            <w:pPr>
              <w:pStyle w:val="TableText"/>
            </w:pPr>
            <w:r>
              <w:t>1.1</w:t>
            </w:r>
          </w:p>
        </w:tc>
        <w:tc>
          <w:tcPr>
            <w:tcW w:w="1239" w:type="dxa"/>
          </w:tcPr>
          <w:p w14:paraId="39F2BDB6" w14:textId="4C0605C3" w:rsidR="005841D0" w:rsidRDefault="0048572D" w:rsidP="00BC2E54">
            <w:pPr>
              <w:pStyle w:val="TableText"/>
            </w:pPr>
            <w:r>
              <w:t>15 Nov 2024</w:t>
            </w:r>
          </w:p>
        </w:tc>
        <w:tc>
          <w:tcPr>
            <w:tcW w:w="3200" w:type="dxa"/>
          </w:tcPr>
          <w:p w14:paraId="3064CEE0" w14:textId="77777777" w:rsidR="005841D0" w:rsidRDefault="005841D0" w:rsidP="00BC2E54">
            <w:pPr>
              <w:pStyle w:val="TableText"/>
            </w:pPr>
            <w:r>
              <w:t>CR1002: U</w:t>
            </w:r>
            <w:r w:rsidRPr="00EC62CC">
              <w:t xml:space="preserve">pdate the requirement on GT Lessors </w:t>
            </w:r>
            <w:r>
              <w:t xml:space="preserve">in relation to </w:t>
            </w:r>
            <w:r w:rsidRPr="00EC62CC">
              <w:t>authorised penetration testing.</w:t>
            </w:r>
            <w:r>
              <w:t xml:space="preserve"> Update requirements referring to past deadline relating to use of Routing via Lessee only.</w:t>
            </w:r>
          </w:p>
        </w:tc>
        <w:tc>
          <w:tcPr>
            <w:tcW w:w="1194" w:type="dxa"/>
          </w:tcPr>
          <w:p w14:paraId="26614676" w14:textId="77777777" w:rsidR="005841D0" w:rsidRDefault="005841D0" w:rsidP="00BC2E54">
            <w:pPr>
              <w:pStyle w:val="TableText"/>
            </w:pPr>
            <w:r>
              <w:t>FASG</w:t>
            </w:r>
          </w:p>
        </w:tc>
        <w:tc>
          <w:tcPr>
            <w:tcW w:w="2314" w:type="dxa"/>
            <w:vAlign w:val="center"/>
          </w:tcPr>
          <w:p w14:paraId="7CD8E399" w14:textId="77777777" w:rsidR="005841D0" w:rsidRDefault="005841D0" w:rsidP="00BC2E54">
            <w:pPr>
              <w:pStyle w:val="TableText"/>
            </w:pPr>
            <w:r w:rsidRPr="00EC62CC">
              <w:t>Domonkos Tomcsányi, Umlaut Communications GmbH</w:t>
            </w:r>
          </w:p>
          <w:p w14:paraId="27A05068" w14:textId="77777777" w:rsidR="005841D0" w:rsidRDefault="005841D0" w:rsidP="00BC2E54">
            <w:pPr>
              <w:pStyle w:val="TableText"/>
            </w:pPr>
            <w:r>
              <w:t>David Maxwell, GSMA</w:t>
            </w:r>
          </w:p>
        </w:tc>
      </w:tr>
      <w:tr w:rsidR="00A25DAF" w:rsidRPr="00A14F29" w14:paraId="50107FB7" w14:textId="77777777" w:rsidTr="00BC2E54">
        <w:tc>
          <w:tcPr>
            <w:tcW w:w="1069" w:type="dxa"/>
          </w:tcPr>
          <w:p w14:paraId="035F2256" w14:textId="12C6021C" w:rsidR="00A25DAF" w:rsidRDefault="00A25DAF" w:rsidP="00BC2E54">
            <w:pPr>
              <w:pStyle w:val="TableText"/>
            </w:pPr>
            <w:r>
              <w:t>2.0</w:t>
            </w:r>
          </w:p>
        </w:tc>
        <w:tc>
          <w:tcPr>
            <w:tcW w:w="1239" w:type="dxa"/>
          </w:tcPr>
          <w:p w14:paraId="73B4EE78" w14:textId="7B20DA7D" w:rsidR="00A25DAF" w:rsidRDefault="00684392" w:rsidP="00BC2E54">
            <w:pPr>
              <w:pStyle w:val="TableText"/>
            </w:pPr>
            <w:r>
              <w:t>16</w:t>
            </w:r>
            <w:r w:rsidR="00A25DAF">
              <w:t xml:space="preserve"> </w:t>
            </w:r>
            <w:r>
              <w:t>Dec</w:t>
            </w:r>
            <w:r w:rsidR="00A25DAF">
              <w:t xml:space="preserve"> 2025</w:t>
            </w:r>
          </w:p>
        </w:tc>
        <w:tc>
          <w:tcPr>
            <w:tcW w:w="3200" w:type="dxa"/>
          </w:tcPr>
          <w:p w14:paraId="7F2D5864" w14:textId="77BCD5F8" w:rsidR="00A25DAF" w:rsidRDefault="00622933" w:rsidP="00BC2E54">
            <w:pPr>
              <w:pStyle w:val="TableText"/>
            </w:pPr>
            <w:r>
              <w:t>Diam</w:t>
            </w:r>
            <w:r w:rsidR="00051471">
              <w:t>e</w:t>
            </w:r>
            <w:r>
              <w:t xml:space="preserve">ter </w:t>
            </w:r>
            <w:r w:rsidR="00202F47">
              <w:t xml:space="preserve">brought into </w:t>
            </w:r>
            <w:r w:rsidR="003821D4">
              <w:t xml:space="preserve">scope by including </w:t>
            </w:r>
            <w:r>
              <w:t xml:space="preserve">DEPA Leasing </w:t>
            </w:r>
            <w:r w:rsidR="003821D4">
              <w:t xml:space="preserve">in </w:t>
            </w:r>
            <w:r>
              <w:t xml:space="preserve">the Code of </w:t>
            </w:r>
            <w:r w:rsidR="003821D4">
              <w:t>Co</w:t>
            </w:r>
            <w:r>
              <w:t>nduct</w:t>
            </w:r>
            <w:r w:rsidR="00202F47">
              <w:t>. Minor editorial changes also made.</w:t>
            </w:r>
          </w:p>
        </w:tc>
        <w:tc>
          <w:tcPr>
            <w:tcW w:w="1194" w:type="dxa"/>
          </w:tcPr>
          <w:p w14:paraId="09A4FCA0" w14:textId="739741AD" w:rsidR="00A25DAF" w:rsidRDefault="00A25DAF" w:rsidP="00BC2E54">
            <w:pPr>
              <w:pStyle w:val="TableText"/>
            </w:pPr>
            <w:r>
              <w:t>ISAG</w:t>
            </w:r>
          </w:p>
        </w:tc>
        <w:tc>
          <w:tcPr>
            <w:tcW w:w="2314" w:type="dxa"/>
            <w:vAlign w:val="center"/>
          </w:tcPr>
          <w:p w14:paraId="154D3EEF" w14:textId="143E890D" w:rsidR="00A25DAF" w:rsidRDefault="00A25DAF" w:rsidP="00BC2E54">
            <w:pPr>
              <w:pStyle w:val="TableText"/>
            </w:pPr>
            <w:r>
              <w:t>Stephen Ornadel</w:t>
            </w:r>
            <w:r w:rsidR="00055F08">
              <w:t>, Telenor</w:t>
            </w:r>
            <w:r w:rsidR="00114ECB">
              <w:t xml:space="preserve"> Linx</w:t>
            </w:r>
            <w:r w:rsidR="00055F08">
              <w:t xml:space="preserve"> </w:t>
            </w:r>
          </w:p>
          <w:p w14:paraId="197C4930" w14:textId="360CE832" w:rsidR="00055F08" w:rsidRPr="00EC62CC" w:rsidRDefault="00055F08" w:rsidP="00BC2E54">
            <w:pPr>
              <w:pStyle w:val="TableText"/>
            </w:pPr>
            <w:r>
              <w:t>James Moran, GSMA</w:t>
            </w:r>
          </w:p>
        </w:tc>
      </w:tr>
    </w:tbl>
    <w:p w14:paraId="5155714D" w14:textId="77777777" w:rsidR="005841D0" w:rsidRDefault="005841D0" w:rsidP="005841D0">
      <w:pPr>
        <w:pStyle w:val="ANNEX-heading1"/>
      </w:pPr>
      <w:bookmarkStart w:id="162" w:name="_Toc327548015"/>
      <w:bookmarkStart w:id="163" w:name="_Toc327548215"/>
      <w:bookmarkStart w:id="164" w:name="_Toc85405273"/>
      <w:bookmarkStart w:id="165" w:name="_Toc216786469"/>
      <w:r>
        <w:t>Other Information</w:t>
      </w:r>
      <w:bookmarkEnd w:id="162"/>
      <w:bookmarkEnd w:id="163"/>
      <w:bookmarkEnd w:id="164"/>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5841D0" w:rsidRPr="00A14F29" w14:paraId="7A749FE7" w14:textId="77777777" w:rsidTr="00BC2E54">
        <w:tc>
          <w:tcPr>
            <w:tcW w:w="3188" w:type="dxa"/>
            <w:shd w:val="clear" w:color="auto" w:fill="C00000"/>
          </w:tcPr>
          <w:p w14:paraId="55E86E43" w14:textId="77777777" w:rsidR="005841D0" w:rsidRPr="00A14F29" w:rsidRDefault="005841D0" w:rsidP="00BC2E54">
            <w:pPr>
              <w:pStyle w:val="TableHeader"/>
            </w:pPr>
            <w:r w:rsidRPr="00A14F29">
              <w:t>Type</w:t>
            </w:r>
          </w:p>
        </w:tc>
        <w:tc>
          <w:tcPr>
            <w:tcW w:w="5996" w:type="dxa"/>
            <w:shd w:val="clear" w:color="auto" w:fill="C00000"/>
          </w:tcPr>
          <w:p w14:paraId="50DAF1A1" w14:textId="77777777" w:rsidR="005841D0" w:rsidRPr="00A14F29" w:rsidRDefault="005841D0" w:rsidP="00BC2E54">
            <w:pPr>
              <w:pStyle w:val="TableHeader"/>
            </w:pPr>
            <w:r w:rsidRPr="00A14F29">
              <w:t>Description</w:t>
            </w:r>
          </w:p>
        </w:tc>
      </w:tr>
      <w:tr w:rsidR="005841D0" w:rsidRPr="00A14F29" w14:paraId="7836027D" w14:textId="77777777" w:rsidTr="00BC2E54">
        <w:tc>
          <w:tcPr>
            <w:tcW w:w="3188" w:type="dxa"/>
          </w:tcPr>
          <w:p w14:paraId="672748C4" w14:textId="77777777" w:rsidR="005841D0" w:rsidRPr="00C6177A" w:rsidRDefault="005841D0" w:rsidP="00BC2E54">
            <w:pPr>
              <w:pStyle w:val="TableText"/>
            </w:pPr>
            <w:r w:rsidRPr="00C46FCE">
              <w:t>Document Owner</w:t>
            </w:r>
          </w:p>
        </w:tc>
        <w:tc>
          <w:tcPr>
            <w:tcW w:w="5996" w:type="dxa"/>
          </w:tcPr>
          <w:p w14:paraId="691F7E1D" w14:textId="77777777" w:rsidR="005841D0" w:rsidRPr="00C6177A" w:rsidRDefault="005841D0" w:rsidP="00BC2E54">
            <w:pPr>
              <w:pStyle w:val="TableText"/>
            </w:pPr>
            <w:r>
              <w:t>FASG</w:t>
            </w:r>
          </w:p>
        </w:tc>
      </w:tr>
      <w:tr w:rsidR="005841D0" w:rsidRPr="00A14F29" w14:paraId="4DA740B8" w14:textId="77777777" w:rsidTr="00BC2E54">
        <w:tc>
          <w:tcPr>
            <w:tcW w:w="3188" w:type="dxa"/>
          </w:tcPr>
          <w:p w14:paraId="4B0A5B16" w14:textId="77777777" w:rsidR="005841D0" w:rsidRPr="00C6177A" w:rsidRDefault="005841D0" w:rsidP="00BC2E54">
            <w:pPr>
              <w:pStyle w:val="TableText"/>
            </w:pPr>
            <w:r w:rsidRPr="00C46FCE">
              <w:t>Editor / Company</w:t>
            </w:r>
          </w:p>
        </w:tc>
        <w:tc>
          <w:tcPr>
            <w:tcW w:w="5996" w:type="dxa"/>
          </w:tcPr>
          <w:p w14:paraId="67554790" w14:textId="290EB80C" w:rsidR="005841D0" w:rsidRPr="00C6177A" w:rsidRDefault="005841D0" w:rsidP="00BC2E54">
            <w:pPr>
              <w:pStyle w:val="TableText"/>
            </w:pPr>
            <w:r>
              <w:t xml:space="preserve">Stephen Ornadel, </w:t>
            </w:r>
            <w:r w:rsidR="00684392">
              <w:t>Telenor Linx</w:t>
            </w:r>
          </w:p>
        </w:tc>
      </w:tr>
    </w:tbl>
    <w:p w14:paraId="246AB1C8" w14:textId="77777777" w:rsidR="005841D0" w:rsidRDefault="005841D0" w:rsidP="005841D0">
      <w:pPr>
        <w:pStyle w:val="NormalParagraph"/>
      </w:pPr>
    </w:p>
    <w:p w14:paraId="2C32FE74" w14:textId="77777777" w:rsidR="005841D0" w:rsidRDefault="005841D0" w:rsidP="005841D0">
      <w:pPr>
        <w:pStyle w:val="NormalParagraph"/>
      </w:pPr>
      <w:r>
        <w:t xml:space="preserve">It is our intention to provide a quality product for your use. If you find any errors or omissions, please contact us with your comments. You may notify us at </w:t>
      </w:r>
      <w:hyperlink r:id="rId22" w:history="1">
        <w:r w:rsidRPr="00C73990">
          <w:rPr>
            <w:rStyle w:val="Hyperlink"/>
          </w:rPr>
          <w:t>prd@gsma.com</w:t>
        </w:r>
      </w:hyperlink>
    </w:p>
    <w:p w14:paraId="6BB3173F" w14:textId="6E43FF28" w:rsidR="00944378" w:rsidRPr="005841D0" w:rsidRDefault="005841D0" w:rsidP="005841D0">
      <w:pPr>
        <w:pStyle w:val="NormalParagraph"/>
      </w:pPr>
      <w:r>
        <w:t>Your comments or suggestions &amp; questions are always welcome.</w:t>
      </w:r>
      <w:bookmarkEnd w:id="6"/>
    </w:p>
    <w:sectPr w:rsidR="00944378" w:rsidRPr="005841D0" w:rsidSect="00162046">
      <w:headerReference w:type="even" r:id="rId23"/>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B652" w14:textId="77777777" w:rsidR="00CB59F1" w:rsidRDefault="00CB59F1">
      <w:pPr>
        <w:spacing w:before="0"/>
      </w:pPr>
      <w:r>
        <w:separator/>
      </w:r>
    </w:p>
    <w:p w14:paraId="0E202D07" w14:textId="77777777" w:rsidR="00CB59F1" w:rsidRDefault="00CB59F1"/>
  </w:endnote>
  <w:endnote w:type="continuationSeparator" w:id="0">
    <w:p w14:paraId="6417315A" w14:textId="77777777" w:rsidR="00CB59F1" w:rsidRDefault="00CB59F1">
      <w:pPr>
        <w:spacing w:before="0"/>
      </w:pPr>
      <w:r>
        <w:continuationSeparator/>
      </w:r>
    </w:p>
    <w:p w14:paraId="68CD23FB" w14:textId="77777777" w:rsidR="00CB59F1" w:rsidRDefault="00CB59F1"/>
  </w:endnote>
  <w:endnote w:type="continuationNotice" w:id="1">
    <w:p w14:paraId="57FF13C8" w14:textId="77777777" w:rsidR="00CB59F1" w:rsidRDefault="00CB59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AC4C" w14:textId="63A5D34F" w:rsidR="005841D0" w:rsidRDefault="005841D0" w:rsidP="00A71E77">
    <w:pPr>
      <w:pStyle w:val="Footer"/>
    </w:pPr>
    <w:r>
      <w:t>V</w:t>
    </w:r>
    <w:r w:rsidR="00C02D72">
      <w:t>2.0</w:t>
    </w:r>
    <w:r>
      <w:tab/>
    </w:r>
    <w:r w:rsidRPr="00480D70">
      <w:t xml:space="preserve">Page </w:t>
    </w:r>
    <w:r w:rsidRPr="00480D70">
      <w:fldChar w:fldCharType="begin"/>
    </w:r>
    <w:r w:rsidRPr="00480D70">
      <w:instrText xml:space="preserve"> PAGE </w:instrText>
    </w:r>
    <w:r w:rsidRPr="00480D70">
      <w:fldChar w:fldCharType="separate"/>
    </w:r>
    <w:r>
      <w:rPr>
        <w:noProof/>
      </w:rPr>
      <w:t>4</w:t>
    </w:r>
    <w:r w:rsidRPr="00480D70">
      <w:fldChar w:fldCharType="end"/>
    </w:r>
    <w:r w:rsidRPr="00480D70">
      <w:t xml:space="preserve"> of </w:t>
    </w:r>
    <w:r>
      <w:fldChar w:fldCharType="begin"/>
    </w:r>
    <w:r>
      <w:instrText xml:space="preserve"> NUMPAGES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3D29" w14:textId="77777777" w:rsidR="00CB59F1" w:rsidRDefault="00CB59F1" w:rsidP="009527C9">
      <w:pPr>
        <w:spacing w:before="0"/>
      </w:pPr>
      <w:r>
        <w:separator/>
      </w:r>
    </w:p>
  </w:footnote>
  <w:footnote w:type="continuationSeparator" w:id="0">
    <w:p w14:paraId="088C1FA9" w14:textId="77777777" w:rsidR="00CB59F1" w:rsidRDefault="00CB59F1" w:rsidP="009527C9">
      <w:pPr>
        <w:spacing w:before="0"/>
      </w:pPr>
      <w:r>
        <w:continuationSeparator/>
      </w:r>
    </w:p>
  </w:footnote>
  <w:footnote w:type="continuationNotice" w:id="1">
    <w:p w14:paraId="683F70DE" w14:textId="77777777" w:rsidR="00CB59F1" w:rsidRDefault="00CB59F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9D16" w14:textId="1D107CD9" w:rsidR="007C0EE8" w:rsidRDefault="007C0EE8">
    <w:pPr>
      <w:pStyle w:val="Header"/>
    </w:pPr>
    <w:r w:rsidRPr="005840AA">
      <w:t xml:space="preserve">Official Document </w:t>
    </w:r>
    <w:r>
      <w:t xml:space="preserve">FS.52 – </w:t>
    </w:r>
    <w:r w:rsidR="00AD0B36">
      <w:t xml:space="preserve">Global Title </w:t>
    </w:r>
    <w:r w:rsidR="00684392">
      <w:t xml:space="preserve">and Diameter End Point Address </w:t>
    </w:r>
    <w:r w:rsidR="00AD0B36">
      <w:t>Leasing Code of Conduct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D393" w14:textId="77777777" w:rsidR="00CD732D" w:rsidRDefault="00CD732D" w:rsidP="00427F8A">
    <w:pPr>
      <w:pStyle w:val="NormalParagraph"/>
    </w:pPr>
  </w:p>
  <w:p w14:paraId="54B59ABF" w14:textId="77777777" w:rsidR="00CD732D" w:rsidRDefault="00CD732D" w:rsidP="00427F8A">
    <w:pPr>
      <w:pStyle w:val="Norm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ECB470BE"/>
    <w:lvl w:ilvl="0">
      <w:start w:val="1"/>
      <w:numFmt w:val="decimal"/>
      <w:lvlText w:val="[%1]"/>
      <w:lvlJc w:val="left"/>
      <w:pPr>
        <w:ind w:left="720" w:hanging="607"/>
      </w:pPr>
      <w:rPr>
        <w:rFonts w:hint="default"/>
        <w:b/>
        <w:i w:val="0"/>
        <w:color w:val="auto"/>
        <w:sz w:val="28"/>
      </w:rPr>
    </w:lvl>
    <w:lvl w:ilvl="1">
      <w:start w:val="1"/>
      <w:numFmt w:val="lowerLetter"/>
      <w:lvlText w:val="%2."/>
      <w:lvlJc w:val="left"/>
      <w:pPr>
        <w:ind w:left="1440" w:hanging="360"/>
      </w:pPr>
      <w:rPr>
        <w:rFonts w:hint="default"/>
        <w:b/>
        <w:i w:val="0"/>
        <w:color w:val="auto"/>
        <w:sz w:val="24"/>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1188430B"/>
    <w:multiLevelType w:val="multilevel"/>
    <w:tmpl w:val="3860031C"/>
    <w:lvl w:ilvl="0">
      <w:start w:val="1"/>
      <w:numFmt w:val="decimal"/>
      <w:lvlText w:val="%1."/>
      <w:lvlJc w:val="left"/>
      <w:pPr>
        <w:ind w:left="680" w:hanging="340"/>
      </w:pPr>
      <w:rPr>
        <w:rFonts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3153590"/>
    <w:multiLevelType w:val="hybridMultilevel"/>
    <w:tmpl w:val="3134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20D0E"/>
    <w:multiLevelType w:val="multilevel"/>
    <w:tmpl w:val="10C22BB8"/>
    <w:lvl w:ilvl="0">
      <w:start w:val="1"/>
      <w:numFmt w:val="lowerLetter"/>
      <w:lvlText w:val="%1)"/>
      <w:lvlJc w:val="left"/>
      <w:pPr>
        <w:ind w:left="680" w:hanging="340"/>
      </w:pPr>
      <w:rPr>
        <w:rFonts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6"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020010"/>
    <w:multiLevelType w:val="hybridMultilevel"/>
    <w:tmpl w:val="00981E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A6D94"/>
    <w:multiLevelType w:val="multilevel"/>
    <w:tmpl w:val="C302969E"/>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4EF0BBA"/>
    <w:multiLevelType w:val="multilevel"/>
    <w:tmpl w:val="E90E735E"/>
    <w:lvl w:ilvl="0">
      <w:start w:val="1"/>
      <w:numFmt w:val="decimal"/>
      <w:lvlText w:val="[%1]"/>
      <w:lvlJc w:val="left"/>
      <w:pPr>
        <w:ind w:left="720" w:hanging="607"/>
      </w:pPr>
      <w:rPr>
        <w:rFonts w:hint="default"/>
        <w:b/>
        <w:i w:val="0"/>
        <w:color w:val="auto"/>
        <w:sz w:val="28"/>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15:restartNumberingAfterBreak="0">
    <w:nsid w:val="2A95457E"/>
    <w:multiLevelType w:val="multilevel"/>
    <w:tmpl w:val="B0C610D2"/>
    <w:lvl w:ilvl="0">
      <w:start w:val="1"/>
      <w:numFmt w:val="bullet"/>
      <w:lvlText w:val=""/>
      <w:lvlJc w:val="left"/>
      <w:pPr>
        <w:ind w:left="720" w:hanging="607"/>
      </w:pPr>
      <w:rPr>
        <w:rFonts w:ascii="Symbol" w:hAnsi="Symbol" w:hint="default"/>
        <w:b/>
        <w:i w:val="0"/>
        <w:color w:val="auto"/>
        <w:sz w:val="22"/>
      </w:rPr>
    </w:lvl>
    <w:lvl w:ilvl="1">
      <w:start w:val="1"/>
      <w:numFmt w:val="lowerLetter"/>
      <w:lvlText w:val="%2."/>
      <w:lvlJc w:val="left"/>
      <w:pPr>
        <w:ind w:left="1440" w:hanging="360"/>
      </w:pPr>
      <w:rPr>
        <w:rFonts w:hint="default"/>
        <w:b/>
        <w:i w:val="0"/>
        <w:color w:val="auto"/>
        <w:sz w:val="24"/>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2B0F167E"/>
    <w:multiLevelType w:val="multilevel"/>
    <w:tmpl w:val="3C48237C"/>
    <w:lvl w:ilvl="0">
      <w:start w:val="1"/>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pPr>
        <w:tabs>
          <w:tab w:val="num" w:pos="851"/>
        </w:tabs>
        <w:ind w:left="851" w:hanging="851"/>
      </w:pPr>
      <w:rPr>
        <w:rFonts w:hint="default"/>
        <w:b/>
        <w:i w:val="0"/>
        <w:color w:val="auto"/>
        <w:sz w:val="22"/>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2E651EFB"/>
    <w:multiLevelType w:val="hybridMultilevel"/>
    <w:tmpl w:val="70AA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F0E30"/>
    <w:multiLevelType w:val="multilevel"/>
    <w:tmpl w:val="43AC6B32"/>
    <w:lvl w:ilvl="0">
      <w:start w:val="1"/>
      <w:numFmt w:val="bullet"/>
      <w:lvlText w:val=""/>
      <w:lvlJc w:val="left"/>
      <w:pPr>
        <w:ind w:left="720" w:hanging="607"/>
      </w:pPr>
      <w:rPr>
        <w:rFonts w:ascii="Symbol" w:hAnsi="Symbol" w:hint="default"/>
        <w:b/>
        <w:i w:val="0"/>
        <w:color w:val="auto"/>
        <w:sz w:val="28"/>
      </w:rPr>
    </w:lvl>
    <w:lvl w:ilvl="1">
      <w:start w:val="1"/>
      <w:numFmt w:val="lowerLetter"/>
      <w:lvlText w:val="%2."/>
      <w:lvlJc w:val="left"/>
      <w:pPr>
        <w:ind w:left="1440" w:hanging="360"/>
      </w:pPr>
      <w:rPr>
        <w:rFonts w:hint="default"/>
        <w:b/>
        <w:i w:val="0"/>
        <w:color w:val="auto"/>
        <w:sz w:val="24"/>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5" w15:restartNumberingAfterBreak="0">
    <w:nsid w:val="38FB2159"/>
    <w:multiLevelType w:val="multilevel"/>
    <w:tmpl w:val="ECB470BE"/>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E7354"/>
    <w:multiLevelType w:val="hybridMultilevel"/>
    <w:tmpl w:val="800A67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A4878"/>
    <w:multiLevelType w:val="multilevel"/>
    <w:tmpl w:val="C302969E"/>
    <w:numStyleLink w:val="ListNumbers"/>
  </w:abstractNum>
  <w:abstractNum w:abstractNumId="20" w15:restartNumberingAfterBreak="0">
    <w:nsid w:val="3F585952"/>
    <w:multiLevelType w:val="hybridMultilevel"/>
    <w:tmpl w:val="E09A270E"/>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2DA77D7"/>
    <w:multiLevelType w:val="multilevel"/>
    <w:tmpl w:val="6AEEB678"/>
    <w:lvl w:ilvl="0">
      <w:start w:val="1"/>
      <w:numFmt w:val="bullet"/>
      <w:lvlText w:val=""/>
      <w:lvlJc w:val="left"/>
      <w:pPr>
        <w:ind w:left="720" w:hanging="607"/>
      </w:pPr>
      <w:rPr>
        <w:rFonts w:ascii="Symbol" w:hAnsi="Symbol" w:hint="default"/>
        <w:b/>
        <w:i w:val="0"/>
        <w:color w:val="auto"/>
        <w:sz w:val="22"/>
      </w:rPr>
    </w:lvl>
    <w:lvl w:ilvl="1">
      <w:start w:val="1"/>
      <w:numFmt w:val="lowerLetter"/>
      <w:lvlText w:val="%2."/>
      <w:lvlJc w:val="left"/>
      <w:pPr>
        <w:ind w:left="1440" w:hanging="360"/>
      </w:pPr>
      <w:rPr>
        <w:rFonts w:hint="default"/>
        <w:b/>
        <w:i w:val="0"/>
        <w:color w:val="auto"/>
        <w:sz w:val="24"/>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3" w15:restartNumberingAfterBreak="0">
    <w:nsid w:val="52097677"/>
    <w:multiLevelType w:val="multilevel"/>
    <w:tmpl w:val="666484BE"/>
    <w:lvl w:ilvl="0">
      <w:start w:val="1"/>
      <w:numFmt w:val="bullet"/>
      <w:lvlText w:val=""/>
      <w:lvlJc w:val="left"/>
      <w:pPr>
        <w:ind w:left="720" w:hanging="607"/>
      </w:pPr>
      <w:rPr>
        <w:rFonts w:ascii="Symbol" w:hAnsi="Symbol" w:hint="default"/>
        <w:b/>
        <w:i w:val="0"/>
        <w:color w:val="auto"/>
        <w:sz w:val="22"/>
      </w:rPr>
    </w:lvl>
    <w:lvl w:ilvl="1">
      <w:start w:val="1"/>
      <w:numFmt w:val="lowerLetter"/>
      <w:lvlText w:val="%2."/>
      <w:lvlJc w:val="left"/>
      <w:pPr>
        <w:ind w:left="1440" w:hanging="360"/>
      </w:pPr>
      <w:rPr>
        <w:rFonts w:hint="default"/>
        <w:b/>
        <w:i w:val="0"/>
        <w:color w:val="auto"/>
        <w:sz w:val="24"/>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5"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5B6046B1"/>
    <w:multiLevelType w:val="multilevel"/>
    <w:tmpl w:val="B49EC28E"/>
    <w:lvl w:ilvl="0">
      <w:start w:val="1"/>
      <w:numFmt w:val="bullet"/>
      <w:lvlText w:val=""/>
      <w:lvlJc w:val="left"/>
      <w:pPr>
        <w:ind w:left="720" w:hanging="607"/>
      </w:pPr>
      <w:rPr>
        <w:rFonts w:ascii="Symbol" w:hAnsi="Symbol" w:hint="default"/>
        <w:b/>
        <w:i w:val="0"/>
        <w:color w:val="auto"/>
        <w:sz w:val="28"/>
      </w:rPr>
    </w:lvl>
    <w:lvl w:ilvl="1">
      <w:start w:val="1"/>
      <w:numFmt w:val="lowerLetter"/>
      <w:lvlText w:val="%2."/>
      <w:lvlJc w:val="left"/>
      <w:pPr>
        <w:ind w:left="1440" w:hanging="360"/>
      </w:pPr>
      <w:rPr>
        <w:rFonts w:hint="default"/>
        <w:b/>
        <w:i w:val="0"/>
        <w:color w:val="auto"/>
        <w:sz w:val="24"/>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D9C762B"/>
    <w:multiLevelType w:val="hybridMultilevel"/>
    <w:tmpl w:val="3904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25F6B"/>
    <w:multiLevelType w:val="multilevel"/>
    <w:tmpl w:val="FFBC9036"/>
    <w:lvl w:ilvl="0">
      <w:start w:val="1"/>
      <w:numFmt w:val="bullet"/>
      <w:lvlText w:val=""/>
      <w:lvlJc w:val="left"/>
      <w:pPr>
        <w:ind w:left="720" w:hanging="607"/>
      </w:pPr>
      <w:rPr>
        <w:rFonts w:ascii="Symbol" w:hAnsi="Symbol" w:hint="default"/>
        <w:b/>
        <w:i w:val="0"/>
        <w:color w:val="auto"/>
        <w:sz w:val="28"/>
      </w:rPr>
    </w:lvl>
    <w:lvl w:ilvl="1">
      <w:start w:val="1"/>
      <w:numFmt w:val="lowerLetter"/>
      <w:lvlText w:val="%2."/>
      <w:lvlJc w:val="left"/>
      <w:pPr>
        <w:ind w:left="1440" w:hanging="360"/>
      </w:pPr>
      <w:rPr>
        <w:rFonts w:hint="default"/>
        <w:b/>
        <w:i w:val="0"/>
        <w:color w:val="auto"/>
        <w:sz w:val="24"/>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1" w15:restartNumberingAfterBreak="0">
    <w:nsid w:val="66550ACB"/>
    <w:multiLevelType w:val="multilevel"/>
    <w:tmpl w:val="3860031C"/>
    <w:lvl w:ilvl="0">
      <w:start w:val="1"/>
      <w:numFmt w:val="decimal"/>
      <w:lvlText w:val="%1."/>
      <w:lvlJc w:val="left"/>
      <w:pPr>
        <w:ind w:left="680" w:hanging="340"/>
      </w:pPr>
      <w:rPr>
        <w:rFonts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2"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9EC3DCE"/>
    <w:multiLevelType w:val="multilevel"/>
    <w:tmpl w:val="67FC9474"/>
    <w:lvl w:ilvl="0">
      <w:start w:val="1"/>
      <w:numFmt w:val="decimal"/>
      <w:lvlText w:val="%1."/>
      <w:lvlJc w:val="left"/>
      <w:pPr>
        <w:ind w:left="680" w:hanging="340"/>
      </w:pPr>
      <w:rPr>
        <w:rFonts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4" w15:restartNumberingAfterBreak="0">
    <w:nsid w:val="6D617B80"/>
    <w:multiLevelType w:val="multilevel"/>
    <w:tmpl w:val="FFBC9036"/>
    <w:lvl w:ilvl="0">
      <w:start w:val="1"/>
      <w:numFmt w:val="bullet"/>
      <w:lvlText w:val=""/>
      <w:lvlJc w:val="left"/>
      <w:pPr>
        <w:ind w:left="720" w:hanging="607"/>
      </w:pPr>
      <w:rPr>
        <w:rFonts w:ascii="Symbol" w:hAnsi="Symbol" w:hint="default"/>
        <w:b/>
        <w:i w:val="0"/>
        <w:color w:val="auto"/>
        <w:sz w:val="28"/>
      </w:rPr>
    </w:lvl>
    <w:lvl w:ilvl="1">
      <w:start w:val="1"/>
      <w:numFmt w:val="lowerLetter"/>
      <w:lvlText w:val="%2."/>
      <w:lvlJc w:val="left"/>
      <w:pPr>
        <w:ind w:left="1440" w:hanging="360"/>
      </w:pPr>
      <w:rPr>
        <w:rFonts w:hint="default"/>
        <w:b/>
        <w:i w:val="0"/>
        <w:color w:val="auto"/>
        <w:sz w:val="24"/>
      </w:rPr>
    </w:lvl>
    <w:lvl w:ilvl="2">
      <w:start w:val="1"/>
      <w:numFmt w:val="lowerRoman"/>
      <w:lvlText w:val="%3."/>
      <w:lvlJc w:val="right"/>
      <w:pPr>
        <w:ind w:left="2160" w:hanging="180"/>
      </w:pPr>
      <w:rPr>
        <w:rFonts w:hint="default"/>
        <w:b/>
        <w:i w:val="0"/>
        <w:color w:val="auto"/>
        <w:sz w:val="22"/>
      </w:rPr>
    </w:lvl>
    <w:lvl w:ilvl="3">
      <w:start w:val="1"/>
      <w:numFmt w:val="bullet"/>
      <w:lvlText w:val=""/>
      <w:lvlJc w:val="left"/>
      <w:pPr>
        <w:ind w:left="2880" w:hanging="360"/>
      </w:pPr>
      <w:rPr>
        <w:rFonts w:ascii="Symbol" w:hAnsi="Symbol" w:hint="default"/>
        <w:b/>
        <w:i w:val="0"/>
        <w:color w:val="auto"/>
        <w:sz w:val="22"/>
      </w:rPr>
    </w:lvl>
    <w:lvl w:ilvl="4">
      <w:start w:val="1"/>
      <w:numFmt w:val="lowerLetter"/>
      <w:lvlText w:val="%5."/>
      <w:lvlJc w:val="left"/>
      <w:pPr>
        <w:ind w:left="360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4320" w:hanging="180"/>
      </w:pPr>
      <w:rPr>
        <w:rFonts w:hint="default"/>
        <w:b/>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right"/>
      <w:pPr>
        <w:ind w:left="6480" w:hanging="1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5" w15:restartNumberingAfterBreak="0">
    <w:nsid w:val="763B07C1"/>
    <w:multiLevelType w:val="multilevel"/>
    <w:tmpl w:val="ECB470BE"/>
    <w:lvl w:ilvl="0">
      <w:start w:val="1"/>
      <w:numFmt w:val="decimal"/>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984005D"/>
    <w:multiLevelType w:val="multilevel"/>
    <w:tmpl w:val="F60CF3E2"/>
    <w:lvl w:ilvl="0">
      <w:start w:val="1"/>
      <w:numFmt w:val="decimal"/>
      <w:lvlText w:val="%1."/>
      <w:lvlJc w:val="left"/>
      <w:pPr>
        <w:ind w:left="680" w:hanging="340"/>
      </w:pPr>
      <w:rPr>
        <w:rFonts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7" w15:restartNumberingAfterBreak="0">
    <w:nsid w:val="7F164C21"/>
    <w:multiLevelType w:val="hybridMultilevel"/>
    <w:tmpl w:val="C2C21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232485"/>
    <w:multiLevelType w:val="multilevel"/>
    <w:tmpl w:val="BF34CC52"/>
    <w:lvl w:ilvl="0">
      <w:start w:val="1"/>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pPr>
        <w:tabs>
          <w:tab w:val="num" w:pos="851"/>
        </w:tabs>
        <w:ind w:left="851" w:hanging="851"/>
      </w:pPr>
      <w:rPr>
        <w:rFonts w:hint="default"/>
        <w:b/>
        <w:i w:val="0"/>
        <w:color w:val="auto"/>
        <w:sz w:val="22"/>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abstractNum>
  <w:num w:numId="1" w16cid:durableId="1472361414">
    <w:abstractNumId w:val="12"/>
  </w:num>
  <w:num w:numId="2" w16cid:durableId="871265228">
    <w:abstractNumId w:val="32"/>
  </w:num>
  <w:num w:numId="3" w16cid:durableId="199753828">
    <w:abstractNumId w:val="6"/>
  </w:num>
  <w:num w:numId="4" w16cid:durableId="2095936477">
    <w:abstractNumId w:val="1"/>
  </w:num>
  <w:num w:numId="5" w16cid:durableId="1510101526">
    <w:abstractNumId w:val="16"/>
  </w:num>
  <w:num w:numId="6" w16cid:durableId="2080127063">
    <w:abstractNumId w:val="0"/>
  </w:num>
  <w:num w:numId="7" w16cid:durableId="720635119">
    <w:abstractNumId w:val="17"/>
  </w:num>
  <w:num w:numId="8" w16cid:durableId="538783678">
    <w:abstractNumId w:val="26"/>
  </w:num>
  <w:num w:numId="9" w16cid:durableId="276451237">
    <w:abstractNumId w:val="24"/>
  </w:num>
  <w:num w:numId="10" w16cid:durableId="1929850146">
    <w:abstractNumId w:val="8"/>
  </w:num>
  <w:num w:numId="11" w16cid:durableId="1719667096">
    <w:abstractNumId w:val="2"/>
  </w:num>
  <w:num w:numId="12" w16cid:durableId="1269661261">
    <w:abstractNumId w:val="19"/>
  </w:num>
  <w:num w:numId="13" w16cid:durableId="1145314486">
    <w:abstractNumId w:val="28"/>
  </w:num>
  <w:num w:numId="14" w16cid:durableId="222906574">
    <w:abstractNumId w:val="25"/>
  </w:num>
  <w:num w:numId="15" w16cid:durableId="703291231">
    <w:abstractNumId w:val="21"/>
  </w:num>
  <w:num w:numId="16" w16cid:durableId="1152024548">
    <w:abstractNumId w:val="21"/>
  </w:num>
  <w:num w:numId="17" w16cid:durableId="145247313">
    <w:abstractNumId w:val="2"/>
  </w:num>
  <w:num w:numId="18" w16cid:durableId="1805998735">
    <w:abstractNumId w:val="2"/>
  </w:num>
  <w:num w:numId="19" w16cid:durableId="1268541424">
    <w:abstractNumId w:val="2"/>
  </w:num>
  <w:num w:numId="20" w16cid:durableId="559710064">
    <w:abstractNumId w:val="2"/>
  </w:num>
  <w:num w:numId="21" w16cid:durableId="2062552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7517522">
    <w:abstractNumId w:val="4"/>
  </w:num>
  <w:num w:numId="23" w16cid:durableId="1671329448">
    <w:abstractNumId w:val="37"/>
  </w:num>
  <w:num w:numId="24" w16cid:durableId="960843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105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9360651">
    <w:abstractNumId w:val="18"/>
  </w:num>
  <w:num w:numId="27" w16cid:durableId="1821925272">
    <w:abstractNumId w:val="7"/>
  </w:num>
  <w:num w:numId="28" w16cid:durableId="1975332513">
    <w:abstractNumId w:val="5"/>
  </w:num>
  <w:num w:numId="29" w16cid:durableId="950280084">
    <w:abstractNumId w:val="33"/>
  </w:num>
  <w:num w:numId="30" w16cid:durableId="1095591909">
    <w:abstractNumId w:val="3"/>
  </w:num>
  <w:num w:numId="31" w16cid:durableId="1898514184">
    <w:abstractNumId w:val="31"/>
  </w:num>
  <w:num w:numId="32" w16cid:durableId="587008350">
    <w:abstractNumId w:val="36"/>
  </w:num>
  <w:num w:numId="33" w16cid:durableId="1115295629">
    <w:abstractNumId w:val="20"/>
  </w:num>
  <w:num w:numId="34" w16cid:durableId="75325727">
    <w:abstractNumId w:val="11"/>
  </w:num>
  <w:num w:numId="35" w16cid:durableId="1934124395">
    <w:abstractNumId w:val="38"/>
  </w:num>
  <w:num w:numId="36" w16cid:durableId="2031829672">
    <w:abstractNumId w:val="29"/>
  </w:num>
  <w:num w:numId="37" w16cid:durableId="216550100">
    <w:abstractNumId w:val="15"/>
  </w:num>
  <w:num w:numId="38" w16cid:durableId="532882053">
    <w:abstractNumId w:val="35"/>
  </w:num>
  <w:num w:numId="39" w16cid:durableId="452214291">
    <w:abstractNumId w:val="13"/>
  </w:num>
  <w:num w:numId="40" w16cid:durableId="203832176">
    <w:abstractNumId w:val="9"/>
  </w:num>
  <w:num w:numId="41" w16cid:durableId="957687282">
    <w:abstractNumId w:val="34"/>
  </w:num>
  <w:num w:numId="42" w16cid:durableId="1521236053">
    <w:abstractNumId w:val="30"/>
  </w:num>
  <w:num w:numId="43" w16cid:durableId="215429957">
    <w:abstractNumId w:val="14"/>
  </w:num>
  <w:num w:numId="44" w16cid:durableId="637420947">
    <w:abstractNumId w:val="27"/>
  </w:num>
  <w:num w:numId="45" w16cid:durableId="41826328">
    <w:abstractNumId w:val="23"/>
  </w:num>
  <w:num w:numId="46" w16cid:durableId="998968521">
    <w:abstractNumId w:val="22"/>
  </w:num>
  <w:num w:numId="47" w16cid:durableId="67044614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36C45"/>
    <w:rsid w:val="00037AFD"/>
    <w:rsid w:val="00041759"/>
    <w:rsid w:val="00046D01"/>
    <w:rsid w:val="00051471"/>
    <w:rsid w:val="00052FE2"/>
    <w:rsid w:val="00055ADD"/>
    <w:rsid w:val="00055F08"/>
    <w:rsid w:val="00070288"/>
    <w:rsid w:val="000713B1"/>
    <w:rsid w:val="00074C87"/>
    <w:rsid w:val="000774DD"/>
    <w:rsid w:val="000A0FB0"/>
    <w:rsid w:val="000A3568"/>
    <w:rsid w:val="000A5DA8"/>
    <w:rsid w:val="000A5F70"/>
    <w:rsid w:val="000A72AC"/>
    <w:rsid w:val="000B02F8"/>
    <w:rsid w:val="000B071E"/>
    <w:rsid w:val="000B38A9"/>
    <w:rsid w:val="000B7010"/>
    <w:rsid w:val="000C64EF"/>
    <w:rsid w:val="000D20CB"/>
    <w:rsid w:val="000D23EB"/>
    <w:rsid w:val="000E1DEE"/>
    <w:rsid w:val="000E2366"/>
    <w:rsid w:val="000E2B75"/>
    <w:rsid w:val="000E55A9"/>
    <w:rsid w:val="000E6BB7"/>
    <w:rsid w:val="000F6A30"/>
    <w:rsid w:val="000F6B8B"/>
    <w:rsid w:val="0010050B"/>
    <w:rsid w:val="001010C7"/>
    <w:rsid w:val="00114ECB"/>
    <w:rsid w:val="001231A4"/>
    <w:rsid w:val="0012490A"/>
    <w:rsid w:val="00126AB5"/>
    <w:rsid w:val="00131BC4"/>
    <w:rsid w:val="00141190"/>
    <w:rsid w:val="00143EBD"/>
    <w:rsid w:val="001455A2"/>
    <w:rsid w:val="00147E05"/>
    <w:rsid w:val="00162046"/>
    <w:rsid w:val="00164B88"/>
    <w:rsid w:val="00165872"/>
    <w:rsid w:val="0017332D"/>
    <w:rsid w:val="00176186"/>
    <w:rsid w:val="0018002B"/>
    <w:rsid w:val="001879F6"/>
    <w:rsid w:val="001901DE"/>
    <w:rsid w:val="001B185C"/>
    <w:rsid w:val="001B7C0D"/>
    <w:rsid w:val="001C7172"/>
    <w:rsid w:val="001D0801"/>
    <w:rsid w:val="001D0E4C"/>
    <w:rsid w:val="001D355A"/>
    <w:rsid w:val="001E0572"/>
    <w:rsid w:val="001F0489"/>
    <w:rsid w:val="001F08AC"/>
    <w:rsid w:val="001F1CC2"/>
    <w:rsid w:val="001F2D3A"/>
    <w:rsid w:val="001F48E3"/>
    <w:rsid w:val="001F6FED"/>
    <w:rsid w:val="00202265"/>
    <w:rsid w:val="00202F47"/>
    <w:rsid w:val="00204748"/>
    <w:rsid w:val="00207D34"/>
    <w:rsid w:val="002111D3"/>
    <w:rsid w:val="00217295"/>
    <w:rsid w:val="002200A1"/>
    <w:rsid w:val="0022046F"/>
    <w:rsid w:val="0022220E"/>
    <w:rsid w:val="00230AD1"/>
    <w:rsid w:val="0023227F"/>
    <w:rsid w:val="002335D5"/>
    <w:rsid w:val="00235DF9"/>
    <w:rsid w:val="00236AD1"/>
    <w:rsid w:val="00243CE1"/>
    <w:rsid w:val="002506C3"/>
    <w:rsid w:val="00254E4D"/>
    <w:rsid w:val="002563CD"/>
    <w:rsid w:val="00256F18"/>
    <w:rsid w:val="00274114"/>
    <w:rsid w:val="002766F0"/>
    <w:rsid w:val="00283857"/>
    <w:rsid w:val="002859F6"/>
    <w:rsid w:val="00286941"/>
    <w:rsid w:val="002873C5"/>
    <w:rsid w:val="00291E52"/>
    <w:rsid w:val="00294E91"/>
    <w:rsid w:val="00294F1F"/>
    <w:rsid w:val="002A4E1C"/>
    <w:rsid w:val="002A5445"/>
    <w:rsid w:val="002A7CAD"/>
    <w:rsid w:val="002A7CE1"/>
    <w:rsid w:val="002C2DD2"/>
    <w:rsid w:val="002D05BC"/>
    <w:rsid w:val="002D2F36"/>
    <w:rsid w:val="002E0632"/>
    <w:rsid w:val="002E7936"/>
    <w:rsid w:val="002F1F98"/>
    <w:rsid w:val="00303297"/>
    <w:rsid w:val="00331905"/>
    <w:rsid w:val="003549D3"/>
    <w:rsid w:val="00356024"/>
    <w:rsid w:val="00360ED9"/>
    <w:rsid w:val="00361471"/>
    <w:rsid w:val="00362694"/>
    <w:rsid w:val="00373FBC"/>
    <w:rsid w:val="00376BF3"/>
    <w:rsid w:val="003821D4"/>
    <w:rsid w:val="00383ADA"/>
    <w:rsid w:val="003869AB"/>
    <w:rsid w:val="00397B86"/>
    <w:rsid w:val="003A0DA5"/>
    <w:rsid w:val="003A3B36"/>
    <w:rsid w:val="003A7D25"/>
    <w:rsid w:val="003B2057"/>
    <w:rsid w:val="003B53C0"/>
    <w:rsid w:val="003C1C50"/>
    <w:rsid w:val="003C78F8"/>
    <w:rsid w:val="003D0069"/>
    <w:rsid w:val="003D0CD1"/>
    <w:rsid w:val="003D4034"/>
    <w:rsid w:val="003D6D8E"/>
    <w:rsid w:val="003E2C62"/>
    <w:rsid w:val="003E323B"/>
    <w:rsid w:val="003E339D"/>
    <w:rsid w:val="003F4CB2"/>
    <w:rsid w:val="003F4D31"/>
    <w:rsid w:val="00406873"/>
    <w:rsid w:val="00417276"/>
    <w:rsid w:val="00427F8A"/>
    <w:rsid w:val="004320C7"/>
    <w:rsid w:val="00435D1E"/>
    <w:rsid w:val="0044325C"/>
    <w:rsid w:val="00446532"/>
    <w:rsid w:val="00454DDF"/>
    <w:rsid w:val="0046486F"/>
    <w:rsid w:val="004734D4"/>
    <w:rsid w:val="00476E46"/>
    <w:rsid w:val="00481653"/>
    <w:rsid w:val="0048572D"/>
    <w:rsid w:val="0048697B"/>
    <w:rsid w:val="00486B28"/>
    <w:rsid w:val="00496303"/>
    <w:rsid w:val="004A3603"/>
    <w:rsid w:val="004A7AAF"/>
    <w:rsid w:val="004B1958"/>
    <w:rsid w:val="004B3B19"/>
    <w:rsid w:val="004B5882"/>
    <w:rsid w:val="004B7801"/>
    <w:rsid w:val="004C114A"/>
    <w:rsid w:val="004C1AB0"/>
    <w:rsid w:val="004C5177"/>
    <w:rsid w:val="004C6992"/>
    <w:rsid w:val="004C7D10"/>
    <w:rsid w:val="004D57A0"/>
    <w:rsid w:val="004E7176"/>
    <w:rsid w:val="004E77DF"/>
    <w:rsid w:val="004F4891"/>
    <w:rsid w:val="00504394"/>
    <w:rsid w:val="00511DAC"/>
    <w:rsid w:val="00513384"/>
    <w:rsid w:val="005145E9"/>
    <w:rsid w:val="005149D1"/>
    <w:rsid w:val="00515A23"/>
    <w:rsid w:val="00525783"/>
    <w:rsid w:val="00527201"/>
    <w:rsid w:val="005345D3"/>
    <w:rsid w:val="00537138"/>
    <w:rsid w:val="00540A6D"/>
    <w:rsid w:val="00542D36"/>
    <w:rsid w:val="00550081"/>
    <w:rsid w:val="00551AB7"/>
    <w:rsid w:val="00553839"/>
    <w:rsid w:val="00554E35"/>
    <w:rsid w:val="00560CFA"/>
    <w:rsid w:val="005732C6"/>
    <w:rsid w:val="00583308"/>
    <w:rsid w:val="005840AA"/>
    <w:rsid w:val="005841D0"/>
    <w:rsid w:val="00584B29"/>
    <w:rsid w:val="00585714"/>
    <w:rsid w:val="00585CCE"/>
    <w:rsid w:val="005908D5"/>
    <w:rsid w:val="005942AF"/>
    <w:rsid w:val="0059773C"/>
    <w:rsid w:val="005A1013"/>
    <w:rsid w:val="005A675F"/>
    <w:rsid w:val="005B0278"/>
    <w:rsid w:val="005B29EC"/>
    <w:rsid w:val="005B3581"/>
    <w:rsid w:val="005B45BD"/>
    <w:rsid w:val="005C426C"/>
    <w:rsid w:val="005D3CFA"/>
    <w:rsid w:val="005F6668"/>
    <w:rsid w:val="00606293"/>
    <w:rsid w:val="0061786D"/>
    <w:rsid w:val="00622933"/>
    <w:rsid w:val="00640911"/>
    <w:rsid w:val="00642A24"/>
    <w:rsid w:val="00642D43"/>
    <w:rsid w:val="00642FD5"/>
    <w:rsid w:val="00650464"/>
    <w:rsid w:val="006540C8"/>
    <w:rsid w:val="006618AE"/>
    <w:rsid w:val="00666EEC"/>
    <w:rsid w:val="00671EBC"/>
    <w:rsid w:val="00674BE2"/>
    <w:rsid w:val="00675CF5"/>
    <w:rsid w:val="00684392"/>
    <w:rsid w:val="00691CE2"/>
    <w:rsid w:val="006942D9"/>
    <w:rsid w:val="00695E53"/>
    <w:rsid w:val="006A01A9"/>
    <w:rsid w:val="006A389C"/>
    <w:rsid w:val="006A3A08"/>
    <w:rsid w:val="006B26F9"/>
    <w:rsid w:val="006B5E06"/>
    <w:rsid w:val="006C3E00"/>
    <w:rsid w:val="006D21F8"/>
    <w:rsid w:val="006D67B8"/>
    <w:rsid w:val="006E00A2"/>
    <w:rsid w:val="006E03E2"/>
    <w:rsid w:val="006E46F5"/>
    <w:rsid w:val="006E5FA5"/>
    <w:rsid w:val="006F2DFC"/>
    <w:rsid w:val="007261E1"/>
    <w:rsid w:val="00726CF1"/>
    <w:rsid w:val="00741928"/>
    <w:rsid w:val="00741CC7"/>
    <w:rsid w:val="0075588E"/>
    <w:rsid w:val="00760051"/>
    <w:rsid w:val="00762F0B"/>
    <w:rsid w:val="00765DCC"/>
    <w:rsid w:val="00770318"/>
    <w:rsid w:val="00770BAA"/>
    <w:rsid w:val="007807FB"/>
    <w:rsid w:val="00797566"/>
    <w:rsid w:val="007A4853"/>
    <w:rsid w:val="007B1990"/>
    <w:rsid w:val="007B31FE"/>
    <w:rsid w:val="007C0EE8"/>
    <w:rsid w:val="007C42C9"/>
    <w:rsid w:val="007E1BAD"/>
    <w:rsid w:val="007E56C7"/>
    <w:rsid w:val="007E7A68"/>
    <w:rsid w:val="007F4173"/>
    <w:rsid w:val="007F496E"/>
    <w:rsid w:val="007F590F"/>
    <w:rsid w:val="00804241"/>
    <w:rsid w:val="00811EAB"/>
    <w:rsid w:val="00817A76"/>
    <w:rsid w:val="00820AB9"/>
    <w:rsid w:val="008214D0"/>
    <w:rsid w:val="00822E55"/>
    <w:rsid w:val="00824D1D"/>
    <w:rsid w:val="00831655"/>
    <w:rsid w:val="008418DE"/>
    <w:rsid w:val="008452A2"/>
    <w:rsid w:val="008463D6"/>
    <w:rsid w:val="00851527"/>
    <w:rsid w:val="008519C7"/>
    <w:rsid w:val="00854B5B"/>
    <w:rsid w:val="00862896"/>
    <w:rsid w:val="00871A1B"/>
    <w:rsid w:val="00873007"/>
    <w:rsid w:val="00873AD5"/>
    <w:rsid w:val="00875B0B"/>
    <w:rsid w:val="00882566"/>
    <w:rsid w:val="00890640"/>
    <w:rsid w:val="00894804"/>
    <w:rsid w:val="008B643F"/>
    <w:rsid w:val="008C2C00"/>
    <w:rsid w:val="008C4D92"/>
    <w:rsid w:val="008C4F3B"/>
    <w:rsid w:val="008E2A8E"/>
    <w:rsid w:val="008E6A04"/>
    <w:rsid w:val="00905651"/>
    <w:rsid w:val="00925B3D"/>
    <w:rsid w:val="00937F68"/>
    <w:rsid w:val="00943AF8"/>
    <w:rsid w:val="00944378"/>
    <w:rsid w:val="00947208"/>
    <w:rsid w:val="009527C9"/>
    <w:rsid w:val="00955DF7"/>
    <w:rsid w:val="00960027"/>
    <w:rsid w:val="00982C92"/>
    <w:rsid w:val="0098351C"/>
    <w:rsid w:val="009968FB"/>
    <w:rsid w:val="009E2799"/>
    <w:rsid w:val="009F0192"/>
    <w:rsid w:val="009F02A4"/>
    <w:rsid w:val="009F32A9"/>
    <w:rsid w:val="00A01934"/>
    <w:rsid w:val="00A02104"/>
    <w:rsid w:val="00A135BD"/>
    <w:rsid w:val="00A215C0"/>
    <w:rsid w:val="00A25DAF"/>
    <w:rsid w:val="00A315A9"/>
    <w:rsid w:val="00A3541F"/>
    <w:rsid w:val="00A37CC0"/>
    <w:rsid w:val="00A45388"/>
    <w:rsid w:val="00A46CD6"/>
    <w:rsid w:val="00A50E7A"/>
    <w:rsid w:val="00A61F33"/>
    <w:rsid w:val="00A65CB1"/>
    <w:rsid w:val="00A66939"/>
    <w:rsid w:val="00A71E77"/>
    <w:rsid w:val="00A777F1"/>
    <w:rsid w:val="00A82924"/>
    <w:rsid w:val="00A858AB"/>
    <w:rsid w:val="00A91734"/>
    <w:rsid w:val="00A95E1E"/>
    <w:rsid w:val="00A95FF2"/>
    <w:rsid w:val="00AA04AF"/>
    <w:rsid w:val="00AA295A"/>
    <w:rsid w:val="00AA4C56"/>
    <w:rsid w:val="00AB695F"/>
    <w:rsid w:val="00AC2FCC"/>
    <w:rsid w:val="00AD031D"/>
    <w:rsid w:val="00AD0B36"/>
    <w:rsid w:val="00AD7636"/>
    <w:rsid w:val="00AF0A6F"/>
    <w:rsid w:val="00AF4FB4"/>
    <w:rsid w:val="00AF57E4"/>
    <w:rsid w:val="00B2083E"/>
    <w:rsid w:val="00B2154C"/>
    <w:rsid w:val="00B22FE8"/>
    <w:rsid w:val="00B23B08"/>
    <w:rsid w:val="00B3576F"/>
    <w:rsid w:val="00B473B9"/>
    <w:rsid w:val="00B54120"/>
    <w:rsid w:val="00B556A6"/>
    <w:rsid w:val="00B57E50"/>
    <w:rsid w:val="00B60DCA"/>
    <w:rsid w:val="00B65662"/>
    <w:rsid w:val="00B66961"/>
    <w:rsid w:val="00B673FE"/>
    <w:rsid w:val="00B73B88"/>
    <w:rsid w:val="00B82FEE"/>
    <w:rsid w:val="00B8382B"/>
    <w:rsid w:val="00B84268"/>
    <w:rsid w:val="00B86D21"/>
    <w:rsid w:val="00BA67C1"/>
    <w:rsid w:val="00BB12B8"/>
    <w:rsid w:val="00BB5F46"/>
    <w:rsid w:val="00BC0319"/>
    <w:rsid w:val="00BC4E7C"/>
    <w:rsid w:val="00BC6DA8"/>
    <w:rsid w:val="00BE1712"/>
    <w:rsid w:val="00BF0305"/>
    <w:rsid w:val="00C02D72"/>
    <w:rsid w:val="00C046CA"/>
    <w:rsid w:val="00C056F7"/>
    <w:rsid w:val="00C13327"/>
    <w:rsid w:val="00C13782"/>
    <w:rsid w:val="00C213B4"/>
    <w:rsid w:val="00C216FC"/>
    <w:rsid w:val="00C25446"/>
    <w:rsid w:val="00C25E2B"/>
    <w:rsid w:val="00C27D3A"/>
    <w:rsid w:val="00C30152"/>
    <w:rsid w:val="00C42D7A"/>
    <w:rsid w:val="00C43311"/>
    <w:rsid w:val="00C455AF"/>
    <w:rsid w:val="00C6177A"/>
    <w:rsid w:val="00C7693E"/>
    <w:rsid w:val="00C82208"/>
    <w:rsid w:val="00C83C23"/>
    <w:rsid w:val="00C93769"/>
    <w:rsid w:val="00CA563E"/>
    <w:rsid w:val="00CA5F96"/>
    <w:rsid w:val="00CA602D"/>
    <w:rsid w:val="00CA6F6A"/>
    <w:rsid w:val="00CB219E"/>
    <w:rsid w:val="00CB4912"/>
    <w:rsid w:val="00CB59F1"/>
    <w:rsid w:val="00CC2621"/>
    <w:rsid w:val="00CD0691"/>
    <w:rsid w:val="00CD732D"/>
    <w:rsid w:val="00CE14A0"/>
    <w:rsid w:val="00CE1C2A"/>
    <w:rsid w:val="00CE6A38"/>
    <w:rsid w:val="00CF4C06"/>
    <w:rsid w:val="00D13833"/>
    <w:rsid w:val="00D2158D"/>
    <w:rsid w:val="00D32793"/>
    <w:rsid w:val="00D34853"/>
    <w:rsid w:val="00D400D7"/>
    <w:rsid w:val="00D406CB"/>
    <w:rsid w:val="00D430E2"/>
    <w:rsid w:val="00D43E66"/>
    <w:rsid w:val="00D51827"/>
    <w:rsid w:val="00D55883"/>
    <w:rsid w:val="00D579FC"/>
    <w:rsid w:val="00D63E3D"/>
    <w:rsid w:val="00D64A0E"/>
    <w:rsid w:val="00D7048E"/>
    <w:rsid w:val="00D7128F"/>
    <w:rsid w:val="00D75061"/>
    <w:rsid w:val="00D77C8B"/>
    <w:rsid w:val="00D84468"/>
    <w:rsid w:val="00D857A6"/>
    <w:rsid w:val="00D8729B"/>
    <w:rsid w:val="00D91531"/>
    <w:rsid w:val="00D946F7"/>
    <w:rsid w:val="00DA7467"/>
    <w:rsid w:val="00DC5D53"/>
    <w:rsid w:val="00DD465A"/>
    <w:rsid w:val="00DD490F"/>
    <w:rsid w:val="00DE0315"/>
    <w:rsid w:val="00DE1719"/>
    <w:rsid w:val="00DF005C"/>
    <w:rsid w:val="00DF6CBC"/>
    <w:rsid w:val="00E05CF6"/>
    <w:rsid w:val="00E10806"/>
    <w:rsid w:val="00E14ABA"/>
    <w:rsid w:val="00E26441"/>
    <w:rsid w:val="00E3312B"/>
    <w:rsid w:val="00E34134"/>
    <w:rsid w:val="00E36118"/>
    <w:rsid w:val="00E376E1"/>
    <w:rsid w:val="00E44203"/>
    <w:rsid w:val="00E5129B"/>
    <w:rsid w:val="00E6157D"/>
    <w:rsid w:val="00E6293B"/>
    <w:rsid w:val="00E65E1E"/>
    <w:rsid w:val="00E71DC5"/>
    <w:rsid w:val="00E725FE"/>
    <w:rsid w:val="00E72D86"/>
    <w:rsid w:val="00E7347D"/>
    <w:rsid w:val="00E7772A"/>
    <w:rsid w:val="00E77B57"/>
    <w:rsid w:val="00E82243"/>
    <w:rsid w:val="00E91CFF"/>
    <w:rsid w:val="00E97AFD"/>
    <w:rsid w:val="00EA332A"/>
    <w:rsid w:val="00EB30F1"/>
    <w:rsid w:val="00ED0002"/>
    <w:rsid w:val="00ED4A9E"/>
    <w:rsid w:val="00EE0821"/>
    <w:rsid w:val="00EE6C6A"/>
    <w:rsid w:val="00EF6960"/>
    <w:rsid w:val="00F06242"/>
    <w:rsid w:val="00F14715"/>
    <w:rsid w:val="00F1493A"/>
    <w:rsid w:val="00F23D3A"/>
    <w:rsid w:val="00F24576"/>
    <w:rsid w:val="00F30187"/>
    <w:rsid w:val="00F308D9"/>
    <w:rsid w:val="00F33D50"/>
    <w:rsid w:val="00F423E8"/>
    <w:rsid w:val="00F523CE"/>
    <w:rsid w:val="00F63C58"/>
    <w:rsid w:val="00F73357"/>
    <w:rsid w:val="00F86362"/>
    <w:rsid w:val="00F937B3"/>
    <w:rsid w:val="00FB18EF"/>
    <w:rsid w:val="00FB79E7"/>
    <w:rsid w:val="00FD6383"/>
    <w:rsid w:val="00FD64D8"/>
    <w:rsid w:val="00FE531D"/>
    <w:rsid w:val="00FE64D8"/>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7CD1764E-1602-46BE-8D33-72DF49B4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semiHidden/>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semiHidden/>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semiHidden/>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qFormat/>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qFormat/>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qFormat/>
    <w:rsid w:val="009E2799"/>
    <w:pPr>
      <w:keepNext/>
      <w:jc w:val="center"/>
    </w:pPr>
    <w:rPr>
      <w:lang w:eastAsia="zh-CN" w:bidi="bn-BD"/>
    </w:rPr>
  </w:style>
  <w:style w:type="paragraph" w:customStyle="1" w:styleId="Disclaimer">
    <w:name w:val="Disclaimer"/>
    <w:basedOn w:val="NormalParagraph"/>
    <w:next w:val="NormalParagraph"/>
    <w:uiPriority w:val="28"/>
    <w:qFormat/>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qFormat/>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ind w:left="680"/>
    </w:pPr>
  </w:style>
  <w:style w:type="paragraph" w:styleId="ListContinue2">
    <w:name w:val="List Continue 2"/>
    <w:basedOn w:val="ListBullet2"/>
    <w:uiPriority w:val="10"/>
    <w:rsid w:val="00871A1B"/>
    <w:pPr>
      <w:numPr>
        <w:ilvl w:val="0"/>
      </w:numPr>
      <w:ind w:left="1021"/>
    </w:pPr>
  </w:style>
  <w:style w:type="paragraph" w:styleId="ListContinue3">
    <w:name w:val="List Continue 3"/>
    <w:basedOn w:val="ListBullet3"/>
    <w:uiPriority w:val="10"/>
    <w:rsid w:val="00871A1B"/>
    <w:pPr>
      <w:numPr>
        <w:ilvl w:val="0"/>
      </w:numPr>
      <w:ind w:left="1361"/>
    </w:pPr>
  </w:style>
  <w:style w:type="paragraph" w:customStyle="1" w:styleId="ListBulletsubcontinue">
    <w:name w:val="List Bullet (sub) continue"/>
    <w:basedOn w:val="ListBulletsub"/>
    <w:uiPriority w:val="11"/>
    <w:qFormat/>
    <w:rsid w:val="00871A1B"/>
    <w:pPr>
      <w:numPr>
        <w:ilvl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3C1C50"/>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3C1C50"/>
    <w:rPr>
      <w:color w:val="800080" w:themeColor="followedHyperlink"/>
      <w:u w:val="single"/>
    </w:rPr>
  </w:style>
  <w:style w:type="paragraph" w:customStyle="1" w:styleId="CRSheetTitle">
    <w:name w:val="CRSheet Title"/>
    <w:next w:val="NormalParagraph"/>
    <w:qFormat/>
    <w:rsid w:val="003C1C50"/>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3C1C50"/>
    <w:rPr>
      <w:sz w:val="24"/>
    </w:rPr>
  </w:style>
  <w:style w:type="paragraph" w:customStyle="1" w:styleId="TableTextBold">
    <w:name w:val="Table Text Bold"/>
    <w:basedOn w:val="TableText"/>
    <w:uiPriority w:val="49"/>
    <w:qFormat/>
    <w:rsid w:val="003C1C50"/>
    <w:pPr>
      <w:spacing w:before="0" w:after="0" w:line="240" w:lineRule="auto"/>
    </w:pPr>
    <w:rPr>
      <w:b/>
    </w:rPr>
  </w:style>
  <w:style w:type="paragraph" w:customStyle="1" w:styleId="TableHeaderLarge">
    <w:name w:val="Table Header Large"/>
    <w:basedOn w:val="TableHeader"/>
    <w:uiPriority w:val="49"/>
    <w:qFormat/>
    <w:rsid w:val="003C1C50"/>
    <w:rPr>
      <w:sz w:val="24"/>
    </w:rPr>
  </w:style>
  <w:style w:type="character" w:styleId="CommentReference">
    <w:name w:val="annotation reference"/>
    <w:basedOn w:val="DefaultParagraphFont"/>
    <w:uiPriority w:val="99"/>
    <w:semiHidden/>
    <w:unhideWhenUsed/>
    <w:rsid w:val="003C1C50"/>
    <w:rPr>
      <w:sz w:val="16"/>
      <w:szCs w:val="16"/>
    </w:rPr>
  </w:style>
  <w:style w:type="paragraph" w:styleId="CommentText">
    <w:name w:val="annotation text"/>
    <w:basedOn w:val="Normal"/>
    <w:link w:val="CommentTextChar"/>
    <w:uiPriority w:val="99"/>
    <w:unhideWhenUsed/>
    <w:rsid w:val="003C1C50"/>
    <w:rPr>
      <w:sz w:val="20"/>
      <w:szCs w:val="25"/>
    </w:rPr>
  </w:style>
  <w:style w:type="character" w:customStyle="1" w:styleId="CommentTextChar">
    <w:name w:val="Comment Text Char"/>
    <w:basedOn w:val="DefaultParagraphFont"/>
    <w:link w:val="CommentText"/>
    <w:uiPriority w:val="99"/>
    <w:rsid w:val="003C1C50"/>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3C1C50"/>
    <w:rPr>
      <w:b/>
      <w:bCs/>
    </w:rPr>
  </w:style>
  <w:style w:type="character" w:customStyle="1" w:styleId="CommentSubjectChar">
    <w:name w:val="Comment Subject Char"/>
    <w:basedOn w:val="CommentTextChar"/>
    <w:link w:val="CommentSubject"/>
    <w:uiPriority w:val="99"/>
    <w:semiHidden/>
    <w:rsid w:val="003C1C50"/>
    <w:rPr>
      <w:rFonts w:ascii="Arial" w:eastAsia="SimSun" w:hAnsi="Arial"/>
      <w:b/>
      <w:bCs/>
      <w:szCs w:val="25"/>
      <w:lang w:eastAsia="zh-CN" w:bidi="bn-BD"/>
    </w:rPr>
  </w:style>
  <w:style w:type="character" w:customStyle="1" w:styleId="UnresolvedMention1">
    <w:name w:val="Unresolved Mention1"/>
    <w:basedOn w:val="DefaultParagraphFont"/>
    <w:uiPriority w:val="99"/>
    <w:semiHidden/>
    <w:unhideWhenUsed/>
    <w:rsid w:val="003C1C50"/>
    <w:rPr>
      <w:color w:val="605E5C"/>
      <w:shd w:val="clear" w:color="auto" w:fill="E1DFDD"/>
    </w:rPr>
  </w:style>
  <w:style w:type="paragraph" w:styleId="Revision">
    <w:name w:val="Revision"/>
    <w:hidden/>
    <w:uiPriority w:val="99"/>
    <w:semiHidden/>
    <w:rsid w:val="003C1C50"/>
    <w:rPr>
      <w:rFonts w:ascii="Arial" w:eastAsia="SimSun" w:hAnsi="Arial"/>
      <w:sz w:val="22"/>
      <w:lang w:eastAsia="zh-CN" w:bidi="bn-BD"/>
    </w:rPr>
  </w:style>
  <w:style w:type="paragraph" w:styleId="NormalWeb">
    <w:name w:val="Normal (Web)"/>
    <w:basedOn w:val="Normal"/>
    <w:uiPriority w:val="99"/>
    <w:unhideWhenUsed/>
    <w:rsid w:val="003C1C50"/>
    <w:pPr>
      <w:spacing w:before="100" w:beforeAutospacing="1" w:after="100" w:afterAutospacing="1"/>
      <w:jc w:val="left"/>
    </w:pPr>
    <w:rPr>
      <w:rFonts w:ascii="Times New Roman" w:eastAsia="Times New Roman" w:hAnsi="Times New Roman"/>
      <w:sz w:val="24"/>
      <w:szCs w:val="24"/>
      <w:lang w:eastAsia="en-GB" w:bidi="ar-SA"/>
    </w:rPr>
  </w:style>
  <w:style w:type="character" w:styleId="Strong">
    <w:name w:val="Strong"/>
    <w:basedOn w:val="DefaultParagraphFont"/>
    <w:uiPriority w:val="22"/>
    <w:qFormat/>
    <w:rsid w:val="003C1C50"/>
    <w:rPr>
      <w:b/>
      <w:bCs/>
    </w:rPr>
  </w:style>
  <w:style w:type="table" w:styleId="TableGrid">
    <w:name w:val="Table Grid"/>
    <w:basedOn w:val="TableNormal"/>
    <w:uiPriority w:val="59"/>
    <w:rsid w:val="003C1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C1C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1C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3C1C5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Caption">
    <w:name w:val="caption"/>
    <w:basedOn w:val="Normal"/>
    <w:next w:val="Normal"/>
    <w:uiPriority w:val="35"/>
    <w:unhideWhenUsed/>
    <w:qFormat/>
    <w:rsid w:val="003C1C50"/>
    <w:pPr>
      <w:spacing w:before="0" w:after="200"/>
    </w:pPr>
    <w:rPr>
      <w:i/>
      <w:iCs/>
      <w:color w:val="1F497D" w:themeColor="text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nfocentre2.gsma.com/gp/wg/IR/OfficialDocuments/IR.77%20InterOperator%20IP%20Backbone%20Security%20Req.%20For%20Service%20and%20Inter-operator%20IP%20backbone%20Providers%20v5.0%20(Curren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fc-editor.org/info/rfc8174"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rd@gsma.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C19E83FFED411086BDA5360EE3ED35"/>
        <w:category>
          <w:name w:val="General"/>
          <w:gallery w:val="placeholder"/>
        </w:category>
        <w:types>
          <w:type w:val="bbPlcHdr"/>
        </w:types>
        <w:behaviors>
          <w:behavior w:val="content"/>
        </w:behaviors>
        <w:guid w:val="{7A334888-9BA6-41DD-B87D-F6588523C4AD}"/>
      </w:docPartPr>
      <w:docPartBody>
        <w:p w:rsidR="00EE265F" w:rsidRDefault="00EE265F" w:rsidP="00EE265F">
          <w:pPr>
            <w:pStyle w:val="ECC19E83FFED411086BDA5360EE3ED35"/>
          </w:pPr>
          <w:r w:rsidRPr="002E55AA">
            <w:rPr>
              <w:rStyle w:val="PlaceholderText"/>
            </w:rPr>
            <w:t>[PRD Version]</w:t>
          </w:r>
        </w:p>
      </w:docPartBody>
    </w:docPart>
    <w:docPart>
      <w:docPartPr>
        <w:name w:val="D29BB96664084D5990914590246E523B"/>
        <w:category>
          <w:name w:val="General"/>
          <w:gallery w:val="placeholder"/>
        </w:category>
        <w:types>
          <w:type w:val="bbPlcHdr"/>
        </w:types>
        <w:behaviors>
          <w:behavior w:val="content"/>
        </w:behaviors>
        <w:guid w:val="{4647334A-7299-44DE-A83A-BF55F6A5975F}"/>
      </w:docPartPr>
      <w:docPartBody>
        <w:p w:rsidR="00EE265F" w:rsidRDefault="00EE265F" w:rsidP="00EE265F">
          <w:pPr>
            <w:pStyle w:val="D29BB96664084D5990914590246E523B"/>
          </w:pPr>
          <w:r w:rsidRPr="002E55AA">
            <w:rPr>
              <w:rStyle w:val="PlaceholderText"/>
            </w:rPr>
            <w:t>[Publication Date]</w:t>
          </w:r>
        </w:p>
      </w:docPartBody>
    </w:docPart>
    <w:docPart>
      <w:docPartPr>
        <w:name w:val="2D79B9C0A3EE4EFD9B147F71868743E8"/>
        <w:category>
          <w:name w:val="General"/>
          <w:gallery w:val="placeholder"/>
        </w:category>
        <w:types>
          <w:type w:val="bbPlcHdr"/>
        </w:types>
        <w:behaviors>
          <w:behavior w:val="content"/>
        </w:behaviors>
        <w:guid w:val="{EAEAFDF9-377A-40D2-B883-2722B4D527CF}"/>
      </w:docPartPr>
      <w:docPartBody>
        <w:p w:rsidR="00EE265F" w:rsidRDefault="00EE265F" w:rsidP="00EE265F">
          <w:pPr>
            <w:pStyle w:val="2D79B9C0A3EE4EFD9B147F71868743E8"/>
          </w:pPr>
          <w:r w:rsidRPr="002E55AA">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5F"/>
    <w:rsid w:val="00560CFA"/>
    <w:rsid w:val="00EE2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65F"/>
    <w:rPr>
      <w:color w:val="808080"/>
    </w:rPr>
  </w:style>
  <w:style w:type="paragraph" w:customStyle="1" w:styleId="ECC19E83FFED411086BDA5360EE3ED35">
    <w:name w:val="ECC19E83FFED411086BDA5360EE3ED35"/>
    <w:rsid w:val="00EE265F"/>
  </w:style>
  <w:style w:type="paragraph" w:customStyle="1" w:styleId="D29BB96664084D5990914590246E523B">
    <w:name w:val="D29BB96664084D5990914590246E523B"/>
    <w:rsid w:val="00EE265F"/>
  </w:style>
  <w:style w:type="paragraph" w:customStyle="1" w:styleId="2D79B9C0A3EE4EFD9B147F71868743E8">
    <w:name w:val="2D79B9C0A3EE4EFD9B147F71868743E8"/>
    <w:rsid w:val="00EE2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SharedContentType xmlns="Microsoft.SharePoint.Taxonomy.ContentTypeSync" SourceId="016841fc-e166-4759-8b80-df1e1b366916" ContentTypeId="0x01010041D93E7CCBFE4944B8E5C6D02DDD863303" PreviousValue="false"/>
</file>

<file path=customXml/item3.xml><?xml version="1.0" encoding="utf-8"?>
<ct:contentTypeSchema xmlns:ct="http://schemas.microsoft.com/office/2006/metadata/contentType" xmlns:ma="http://schemas.microsoft.com/office/2006/metadata/properties/metaAttributes" ct:_="" ma:_="" ma:contentTypeName="Member Gateway Document Official Documents" ma:contentTypeID="0x01010041D93E7CCBFE4944B8E5C6D02DDD863303000057FAC3B7E96E46B92B4A125E9B29B5" ma:contentTypeVersion="99" ma:contentTypeDescription="" ma:contentTypeScope="" ma:versionID="56df46be7cb74f09aa854bcef036d68f">
  <xsd:schema xmlns:xsd="http://www.w3.org/2001/XMLSchema" xmlns:xs="http://www.w3.org/2001/XMLSchema" xmlns:p="http://schemas.microsoft.com/office/2006/metadata/properties" xmlns:ns2="2e6e0491-aa75-4400-a05d-30f178733391" xmlns:ns3="http://schemas.microsoft.com/sharepoint/v3/fields" xmlns:ns4="c0fb6ed8-ae94-4d4c-8e69-d223b45c5b37" targetNamespace="http://schemas.microsoft.com/office/2006/metadata/properties" ma:root="true" ma:fieldsID="b1e3143d86e17817bb6f7a5341fba425" ns2:_="" ns3:_="" ns4:_="">
    <xsd:import namespace="2e6e0491-aa75-4400-a05d-30f178733391"/>
    <xsd:import namespace="http://schemas.microsoft.com/sharepoint/v3/fields"/>
    <xsd:import namespace="c0fb6ed8-ae94-4d4c-8e69-d223b45c5b37"/>
    <xsd:element name="properties">
      <xsd:complexType>
        <xsd:sequence>
          <xsd:element name="documentManagement">
            <xsd:complexType>
              <xsd:all>
                <xsd:element ref="ns2:Official_x0020_Document_x0020_Number"/>
                <xsd:element ref="ns3:_Version" minOccurs="0"/>
                <xsd:element ref="ns2:Document_x0020_Author_x0020_" minOccurs="0"/>
                <xsd:element ref="ns2:MG_Summary" minOccurs="0"/>
                <xsd:element ref="ns2:c96e6991c2ff43d594ca586b535d7837" minOccurs="0"/>
                <xsd:element ref="ns2:TaxCatchAll" minOccurs="0"/>
                <xsd:element ref="ns2:TaxCatchAllLabel" minOccurs="0"/>
                <xsd:element ref="ns2:n2e85dcc3d324991ab1d1fd69f0697c0" minOccurs="0"/>
                <xsd:element ref="ns2:g1c6a8c43d0c4f4bb4d3eb963d44f29b" minOccurs="0"/>
                <xsd:element ref="ns2:l0e5c12f04ed43518a1cddf5f017ef61" minOccurs="0"/>
                <xsd:element ref="ns2:de238ecf4d254fca8f1c398cebb10c0a" minOccurs="0"/>
                <xsd:element ref="ns2:e1c7d2b687d34975ba7f0561f7338fd5" minOccurs="0"/>
                <xsd:element ref="ns2:pefb7040d328452e8c717c194cd4eec7" minOccurs="0"/>
                <xsd:element ref="ns2:Recent_x0020_Change_x0020_Description" minOccurs="0"/>
                <xsd:element ref="ns2:Modified_x0020__x0028_Publication_x0020_Date_x0029_" minOccurs="0"/>
                <xsd:element ref="ns2:Document_x0020_Number_x0020_" minOccurs="0"/>
                <xsd:element ref="ns4:Group"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Official_x0020_Document_x0020_Number" ma:index="1" ma:displayName="Official Document Number" ma:default="" ma:internalName="Official_x0020_Document_x0020_Number">
      <xsd:simpleType>
        <xsd:restriction base="dms:Text">
          <xsd:maxLength value="255"/>
        </xsd:restriction>
      </xsd:simpleType>
    </xsd:element>
    <xsd:element name="Document_x0020_Author_x0020_" ma:index="7" nillable="true" ma:displayName="Document Author" ma:list="UserInfo" ma:internalName="Document_x0020_Author_x002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G_Summary" ma:index="9" nillable="true" ma:displayName="Summary" ma:internalName="Summary_x0020_">
      <xsd:simpleType>
        <xsd:restriction base="dms:Note">
          <xsd:maxLength value="255"/>
        </xsd:restriction>
      </xsd:simpleType>
    </xsd:element>
    <xsd:element name="c96e6991c2ff43d594ca586b535d7837" ma:index="13" nillable="true" ma:taxonomy="true" ma:internalName="c96e6991c2ff43d594ca586b535d7837" ma:taxonomyFieldName="Publishing_x0020_Group" ma:displayName="Publishing Group" ma:default="" ma:fieldId="{c96e6991-c2ff-43d5-94ca-586b535d7837}" ma:taxonomyMulti="true" ma:sspId="016841fc-e166-4759-8b80-df1e1b366916" ma:termSetId="1a2527f8-e134-436a-8f43-186016574046" ma:anchorId="8b3c1d10-304c-4d3b-a50c-5798c70b2ac5" ma:open="false" ma:isKeyword="false">
      <xsd:complexType>
        <xsd:sequence>
          <xsd:element ref="pc:Terms" minOccurs="0" maxOccurs="1"/>
        </xsd:sequence>
      </xsd:complexType>
    </xsd:element>
    <xsd:element name="TaxCatchAll" ma:index="15" nillable="true" ma:displayName="Taxonomy Catch All Column" ma:hidden="true" ma:list="{76d78504-bf34-488f-b577-cfc5f1b9f4f0}" ma:internalName="TaxCatchAll" ma:showField="CatchAllData" ma:web="d3c0a1dd-8320-404d-9680-139aae6c7d5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6d78504-bf34-488f-b577-cfc5f1b9f4f0}" ma:internalName="TaxCatchAllLabel" ma:readOnly="true" ma:showField="CatchAllDataLabel" ma:web="d3c0a1dd-8320-404d-9680-139aae6c7d51">
      <xsd:complexType>
        <xsd:complexContent>
          <xsd:extension base="dms:MultiChoiceLookup">
            <xsd:sequence>
              <xsd:element name="Value" type="dms:Lookup" maxOccurs="unbounded" minOccurs="0" nillable="true"/>
            </xsd:sequence>
          </xsd:extension>
        </xsd:complexContent>
      </xsd:complexType>
    </xsd:element>
    <xsd:element name="n2e85dcc3d324991ab1d1fd69f0697c0" ma:index="17" nillable="true" ma:taxonomy="true" ma:internalName="n2e85dcc3d324991ab1d1fd69f0697c0" ma:taxonomyFieldName="Confidentiality0" ma:displayName="Confidentiality" ma:fieldId="{72e85dcc-3d32-4991-ab1d-1fd69f0697c0}" ma:sspId="016841fc-e166-4759-8b80-df1e1b366916" ma:termSetId="1a2527f8-e134-436a-8f43-186016574046" ma:anchorId="cd19fea2-92c4-4c25-be26-f0b1e53e255e" ma:open="false" ma:isKeyword="false">
      <xsd:complexType>
        <xsd:sequence>
          <xsd:element ref="pc:Terms" minOccurs="0" maxOccurs="1"/>
        </xsd:sequence>
      </xsd:complexType>
    </xsd:element>
    <xsd:element name="g1c6a8c43d0c4f4bb4d3eb963d44f29b" ma:index="20" nillable="true" ma:taxonomy="true" ma:internalName="g1c6a8c43d0c4f4bb4d3eb963d44f29b" ma:taxonomyFieldName="Industry_x0020_Specification" ma:displayName="Industry Specification" ma:default="" ma:fieldId="{01c6a8c4-3d0c-4f4b-b4d3-eb963d44f29b}" ma:sspId="016841fc-e166-4759-8b80-df1e1b366916" ma:termSetId="1a2527f8-e134-436a-8f43-186016574046" ma:anchorId="69a683fe-7777-4dc2-a4e3-8fa65b6113d6" ma:open="false" ma:isKeyword="false">
      <xsd:complexType>
        <xsd:sequence>
          <xsd:element ref="pc:Terms" minOccurs="0" maxOccurs="1"/>
        </xsd:sequence>
      </xsd:complexType>
    </xsd:element>
    <xsd:element name="l0e5c12f04ed43518a1cddf5f017ef61" ma:index="21" nillable="true" ma:taxonomy="true" ma:internalName="l0e5c12f04ed43518a1cddf5f017ef61" ma:taxonomyFieldName="Document_x0020_Status" ma:displayName="Document Status" ma:default="2;#Current|df72cac5-8e0d-4d03-b54b-576fc92920fe" ma:fieldId="{50e5c12f-04ed-4351-8a1c-ddf5f017ef61}" ma:sspId="016841fc-e166-4759-8b80-df1e1b366916" ma:termSetId="1a2527f8-e134-436a-8f43-186016574046" ma:anchorId="23afd8bc-b683-49fb-b3da-b6f9d5a7305b" ma:open="false" ma:isKeyword="false">
      <xsd:complexType>
        <xsd:sequence>
          <xsd:element ref="pc:Terms" minOccurs="0" maxOccurs="1"/>
        </xsd:sequence>
      </xsd:complexType>
    </xsd:element>
    <xsd:element name="de238ecf4d254fca8f1c398cebb10c0a" ma:index="22" nillable="true" ma:taxonomy="true" ma:internalName="de238ecf4d254fca8f1c398cebb10c0a" ma:taxonomyFieldName="Issuing_x0020_Group120" ma:displayName="Issuing Group" ma:readOnly="false" ma:default="" ma:fieldId="{de238ecf-4d25-4fca-8f1c-398cebb10c0a}" ma:sspId="016841fc-e166-4759-8b80-df1e1b366916" ma:termSetId="1a2527f8-e134-436a-8f43-186016574046" ma:anchorId="55112a93-4435-4eb0-a012-e9e20c7ee7d2" ma:open="false" ma:isKeyword="false">
      <xsd:complexType>
        <xsd:sequence>
          <xsd:element ref="pc:Terms" minOccurs="0" maxOccurs="1"/>
        </xsd:sequence>
      </xsd:complexType>
    </xsd:element>
    <xsd:element name="e1c7d2b687d34975ba7f0561f7338fd5" ma:index="24" nillable="true" ma:taxonomy="true" ma:internalName="e1c7d2b687d34975ba7f0561f7338fd5" ma:taxonomyFieldName="Approving_x0020_Group120" ma:displayName="Approving Group" ma:fieldId="{e1c7d2b6-87d3-4975-ba7f-0561f7338fd5}" ma:sspId="016841fc-e166-4759-8b80-df1e1b366916" ma:termSetId="1a2527f8-e134-436a-8f43-186016574046" ma:anchorId="3dc4628e-e4f5-4868-817a-27c1bd46df95" ma:open="false" ma:isKeyword="false">
      <xsd:complexType>
        <xsd:sequence>
          <xsd:element ref="pc:Terms" minOccurs="0" maxOccurs="1"/>
        </xsd:sequence>
      </xsd:complexType>
    </xsd:element>
    <xsd:element name="pefb7040d328452e8c717c194cd4eec7" ma:index="25" nillable="true" ma:taxonomy="true" ma:internalName="pefb7040d328452e8c717c194cd4eec7" ma:taxonomyFieldName="Official_x0020_Documents_x0020_Type_x0020_" ma:displayName="Official Documents Type " ma:default="" ma:fieldId="{9efb7040-d328-452e-8c71-7c194cd4eec7}" ma:sspId="016841fc-e166-4759-8b80-df1e1b366916" ma:termSetId="1a2527f8-e134-436a-8f43-186016574046" ma:anchorId="2edc7cd1-b5a0-4534-a7d6-dda38b6a697f" ma:open="false" ma:isKeyword="false">
      <xsd:complexType>
        <xsd:sequence>
          <xsd:element ref="pc:Terms" minOccurs="0" maxOccurs="1"/>
        </xsd:sequence>
      </xsd:complexType>
    </xsd:element>
    <xsd:element name="Recent_x0020_Change_x0020_Description" ma:index="27" nillable="true" ma:displayName="Recent Change Description" ma:default="" ma:internalName="Recent_x0020_Change_x0020_Description">
      <xsd:simpleType>
        <xsd:restriction base="dms:Note">
          <xsd:maxLength value="255"/>
        </xsd:restriction>
      </xsd:simpleType>
    </xsd:element>
    <xsd:element name="Modified_x0020__x0028_Publication_x0020_Date_x0029_" ma:index="28" nillable="true" ma:displayName="Modified (Publication Date)" ma:default="" ma:format="DateOnly" ma:internalName="Modified_x0020__x0028_Publication_x0020_Date_x0029_">
      <xsd:simpleType>
        <xsd:restriction base="dms:DateTime"/>
      </xsd:simpleType>
    </xsd:element>
    <xsd:element name="Document_x0020_Number_x0020_" ma:index="29" nillable="true" ma:displayName="Document Number " ma:default="" ma:internalName="Document_x0020_Number_x002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b6ed8-ae94-4d4c-8e69-d223b45c5b37" elementFormDefault="qualified">
    <xsd:import namespace="http://schemas.microsoft.com/office/2006/documentManagement/types"/>
    <xsd:import namespace="http://schemas.microsoft.com/office/infopath/2007/PartnerControls"/>
    <xsd:element name="Group" ma:index="30" nillable="true" ma:displayName="Subgroup" ma:format="Dropdown" ma:internalName="Group">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33</Value>
      <Value>14</Value>
      <Value>30</Value>
      <Value>28</Value>
      <Value>25</Value>
      <Value>24</Value>
      <Value>2</Value>
    </TaxCatchAll>
    <_Version xmlns="http://schemas.microsoft.com/sharepoint/v3/fields">1.1</_Version>
    <l0e5c12f04ed43518a1cddf5f017ef61 xmlns="2e6e0491-aa75-4400-a05d-30f178733391">
      <Terms xmlns="http://schemas.microsoft.com/office/infopath/2007/PartnerControls">
        <TermInfo xmlns="http://schemas.microsoft.com/office/infopath/2007/PartnerControls">
          <TermName xmlns="http://schemas.microsoft.com/office/infopath/2007/PartnerControls">Current</TermName>
          <TermId xmlns="http://schemas.microsoft.com/office/infopath/2007/PartnerControls">df72cac5-8e0d-4d03-b54b-576fc92920fe</TermId>
        </TermInfo>
      </Terms>
    </l0e5c12f04ed43518a1cddf5f017ef61>
    <pefb7040d328452e8c717c194cd4eec7 xmlns="2e6e0491-aa75-4400-a05d-30f178733391">
      <Terms xmlns="http://schemas.microsoft.com/office/infopath/2007/PartnerControls">
        <TermInfo xmlns="http://schemas.microsoft.com/office/infopath/2007/PartnerControls">
          <TermName xmlns="http://schemas.microsoft.com/office/infopath/2007/PartnerControls">PRD</TermName>
          <TermId xmlns="http://schemas.microsoft.com/office/infopath/2007/PartnerControls">ed83db93-8a27-4807-a5cd-bfbef47ae9b2</TermId>
        </TermInfo>
      </Terms>
    </pefb7040d328452e8c717c194cd4eec7>
    <Document_x0020_Author_x0020_ xmlns="2e6e0491-aa75-4400-a05d-30f178733391">
      <UserInfo>
        <DisplayName>Stephen Ornadel</DisplayName>
        <AccountId>753</AccountId>
        <AccountType/>
      </UserInfo>
    </Document_x0020_Author_x0020_>
    <c96e6991c2ff43d594ca586b535d7837 xmlns="2e6e0491-aa75-4400-a05d-30f178733391">
      <Terms xmlns="http://schemas.microsoft.com/office/infopath/2007/PartnerControls">
        <TermInfo xmlns="http://schemas.microsoft.com/office/infopath/2007/PartnerControls">
          <TermName xmlns="http://schemas.microsoft.com/office/infopath/2007/PartnerControls">FASG</TermName>
          <TermId xmlns="http://schemas.microsoft.com/office/infopath/2007/PartnerControls">29204e31-dcb5-4eae-a35e-5e4dc4c69284</TermId>
        </TermInfo>
      </Terms>
    </c96e6991c2ff43d594ca586b535d7837>
    <MG_Summary xmlns="2e6e0491-aa75-4400-a05d-30f178733391" xsi:nil="true"/>
    <n2e85dcc3d324991ab1d1fd69f0697c0 xmlns="2e6e0491-aa75-4400-a05d-30f178733391">
      <Terms xmlns="http://schemas.microsoft.com/office/infopath/2007/PartnerControls">
        <TermInfo xmlns="http://schemas.microsoft.com/office/infopath/2007/PartnerControls">
          <TermName xmlns="http://schemas.microsoft.com/office/infopath/2007/PartnerControls">Non-Confidential</TermName>
          <TermId xmlns="http://schemas.microsoft.com/office/infopath/2007/PartnerControls">88234e20-02b0-4fa1-a42a-97b87d6d5a21</TermId>
        </TermInfo>
      </Terms>
    </n2e85dcc3d324991ab1d1fd69f0697c0>
    <g1c6a8c43d0c4f4bb4d3eb963d44f29b xmlns="2e6e0491-aa75-4400-a05d-30f178733391">
      <Terms xmlns="http://schemas.microsoft.com/office/infopath/2007/PartnerControls">
        <TermInfo xmlns="http://schemas.microsoft.com/office/infopath/2007/PartnerControls">
          <TermName xmlns="http://schemas.microsoft.com/office/infopath/2007/PartnerControls">Yes</TermName>
          <TermId xmlns="http://schemas.microsoft.com/office/infopath/2007/PartnerControls">ef866cb3-20b9-48ba-8c60-02b9b0d4bb2e</TermId>
        </TermInfo>
      </Terms>
    </g1c6a8c43d0c4f4bb4d3eb963d44f29b>
    <de238ecf4d254fca8f1c398cebb10c0a xmlns="2e6e0491-aa75-4400-a05d-30f178733391">
      <Terms xmlns="http://schemas.microsoft.com/office/infopath/2007/PartnerControls">
        <TermInfo xmlns="http://schemas.microsoft.com/office/infopath/2007/PartnerControls">
          <TermName xmlns="http://schemas.microsoft.com/office/infopath/2007/PartnerControls">FASG</TermName>
          <TermId xmlns="http://schemas.microsoft.com/office/infopath/2007/PartnerControls">c39fbddb-ca2a-4d24-853d-7b0071f20570</TermId>
        </TermInfo>
      </Terms>
    </de238ecf4d254fca8f1c398cebb10c0a>
    <e1c7d2b687d34975ba7f0561f7338fd5 xmlns="2e6e0491-aa75-4400-a05d-30f178733391">
      <Terms xmlns="http://schemas.microsoft.com/office/infopath/2007/PartnerControls">
        <TermInfo xmlns="http://schemas.microsoft.com/office/infopath/2007/PartnerControls">
          <TermName xmlns="http://schemas.microsoft.com/office/infopath/2007/PartnerControls">ISAG</TermName>
          <TermId xmlns="http://schemas.microsoft.com/office/infopath/2007/PartnerControls">7a82c98e-f1b2-4a9d-8049-0365939f2212</TermId>
        </TermInfo>
      </Terms>
    </e1c7d2b687d34975ba7f0561f7338fd5>
    <Document_x0020_Number_x0020_ xmlns="2e6e0491-aa75-4400-a05d-30f178733391" xsi:nil="true"/>
    <Official_x0020_Document_x0020_Number xmlns="2e6e0491-aa75-4400-a05d-30f178733391">FS.52</Official_x0020_Document_x0020_Number>
    <Modified_x0020__x0028_Publication_x0020_Date_x0029_ xmlns="2e6e0491-aa75-4400-a05d-30f178733391" xsi:nil="true"/>
    <Recent_x0020_Change_x0020_Description xmlns="2e6e0491-aa75-4400-a05d-30f178733391" xsi:nil="true"/>
    <Group xmlns="c0fb6ed8-ae94-4d4c-8e69-d223b45c5b37">GTLTF</Group>
    <Date xmlns="c0fb6ed8-ae94-4d4c-8e69-d223b45c5b37" xsi:nil="true"/>
  </documentManagement>
</p:properties>
</file>

<file path=customXml/itemProps1.xml><?xml version="1.0" encoding="utf-8"?>
<ds:datastoreItem xmlns:ds="http://schemas.openxmlformats.org/officeDocument/2006/customXml" ds:itemID="{AAE10CE8-2B05-43B7-ACFD-4475A38573FC}">
  <ds:schemaRefs>
    <ds:schemaRef ds:uri="http://schemas.openxmlformats.org/officeDocument/2006/bibliography"/>
  </ds:schemaRefs>
</ds:datastoreItem>
</file>

<file path=customXml/itemProps2.xml><?xml version="1.0" encoding="utf-8"?>
<ds:datastoreItem xmlns:ds="http://schemas.openxmlformats.org/officeDocument/2006/customXml" ds:itemID="{48BEBBE3-11FB-45FB-AE35-7128D076B39C}">
  <ds:schemaRefs>
    <ds:schemaRef ds:uri="Microsoft.SharePoint.Taxonomy.ContentTypeSync"/>
  </ds:schemaRefs>
</ds:datastoreItem>
</file>

<file path=customXml/itemProps3.xml><?xml version="1.0" encoding="utf-8"?>
<ds:datastoreItem xmlns:ds="http://schemas.openxmlformats.org/officeDocument/2006/customXml" ds:itemID="{FBDC9B52-8E14-433D-9D66-6BCC36973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0491-aa75-4400-a05d-30f178733391"/>
    <ds:schemaRef ds:uri="http://schemas.microsoft.com/sharepoint/v3/fields"/>
    <ds:schemaRef ds:uri="c0fb6ed8-ae94-4d4c-8e69-d223b45c5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5.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http://schemas.microsoft.com/sharepoint/v3/fields"/>
    <ds:schemaRef ds:uri="c0fb6ed8-ae94-4d4c-8e69-d223b45c5b37"/>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28</TotalTime>
  <Pages>21</Pages>
  <Words>7400</Words>
  <Characters>37519</Characters>
  <Application>Microsoft Office Word</Application>
  <DocSecurity>0</DocSecurity>
  <Lines>3410</Lines>
  <Paragraphs>2041</Paragraphs>
  <ScaleCrop>false</ScaleCrop>
  <HeadingPairs>
    <vt:vector size="2" baseType="variant">
      <vt:variant>
        <vt:lpstr>Title</vt:lpstr>
      </vt:variant>
      <vt:variant>
        <vt:i4>1</vt:i4>
      </vt:variant>
    </vt:vector>
  </HeadingPairs>
  <TitlesOfParts>
    <vt:vector size="1" baseType="lpstr">
      <vt:lpstr>ODTemplate</vt:lpstr>
    </vt:vector>
  </TitlesOfParts>
  <Company/>
  <LinksUpToDate>false</LinksUpToDate>
  <CharactersWithSpaces>42878</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FS.52 Global Title Leasing Code of Conduct v1.1 (Current)</dc:title>
  <dc:subject/>
  <dc:creator>David Maxwell</dc:creator>
  <cp:keywords/>
  <cp:lastModifiedBy>James Moran</cp:lastModifiedBy>
  <cp:revision>20</cp:revision>
  <dcterms:created xsi:type="dcterms:W3CDTF">2025-11-11T16:11:00Z</dcterms:created>
  <dcterms:modified xsi:type="dcterms:W3CDTF">2026-01-09T04:11:00Z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116100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0x01010041D93E7CCBFE4944B8E5C6D02DDD863303000057FAC3B7E96E46B92B4A125E9B29B5</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59425;#GT Leasing Task Force (Chair);#59426;#GT Leasing Task Force (Chair) (Associate);#59423;#GT Leasing Task Force (Co-ordinator);#65873;#GT Leasing Task Force (Deputy Chair);#65874;#GT Leasing Task Force (Deputy Chair) (Associate);#59424;#GT Leasing Task Force (Director);#59428;#GT Leasing Task Force (Group Member);#65875;#GT Leasing Task Force (Liaison Statement Approval Assigner);#59427;#GT Leasing Task Force (Visitors);#27689;#Roaming and Internet, Fraud and Security Group (Chair);#27690;#Roaming and Internet, Fraud and Security Group (Chair) (Associate);#27687;#Roaming and Internet, Fraud and Security Group (Co-ordinator);#32937;#Roaming and Interconnect Fraud and Security Group (Deputy Chair);#32938;#Roaming and Interconnect Fraud and Security Group (Deputy Chair) (Associate);#27688;#Roaming and Internet, Fraud and Security Group (Director);#27692;#Roaming and Internet, Fraud and Security Group (Group Member);#32939;#Roaming and Interconnect Fraud and Security Group (Liaison Statement Approval Assigner);#27691;#Roaming and Internet, Fraud and Security Group (Visitors)</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ddf46eb2-99ff-4193-8fe1-137fac8292bc</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string;#FS</vt:lpwstr>
  </property>
  <property fmtid="{D5CDD505-2E9C-101B-9397-08002B2CF9AE}" pid="55" name="Document Status">
    <vt:lpwstr>2;#Current|df72cac5-8e0d-4d03-b54b-576fc92920fe</vt:lpwstr>
  </property>
  <property fmtid="{D5CDD505-2E9C-101B-9397-08002B2CF9AE}" pid="56" name="Document_x0020_Type_x0020_">
    <vt:lpwstr/>
  </property>
  <property fmtid="{D5CDD505-2E9C-101B-9397-08002B2CF9AE}" pid="57" name="a5cde4689f9f43e8b8c9a9be69f6476e">
    <vt:lpwstr/>
  </property>
  <property fmtid="{D5CDD505-2E9C-101B-9397-08002B2CF9AE}" pid="58" name="Publishing Group">
    <vt:lpwstr>14;#FASG|29204e31-dcb5-4eae-a35e-5e4dc4c69284</vt:lpwstr>
  </property>
  <property fmtid="{D5CDD505-2E9C-101B-9397-08002B2CF9AE}" pid="59" name="Official Documents Type ">
    <vt:lpwstr>28;#PRD|ed83db93-8a27-4807-a5cd-bfbef47ae9b2</vt:lpwstr>
  </property>
  <property fmtid="{D5CDD505-2E9C-101B-9397-08002B2CF9AE}" pid="60" name="Document Type ">
    <vt:lpwstr/>
  </property>
  <property fmtid="{D5CDD505-2E9C-101B-9397-08002B2CF9AE}" pid="61" name="Document Author">
    <vt:lpwstr/>
  </property>
  <property fmtid="{D5CDD505-2E9C-101B-9397-08002B2CF9AE}" pid="62" name="Official Documents Type">
    <vt:lpwstr/>
  </property>
  <property fmtid="{D5CDD505-2E9C-101B-9397-08002B2CF9AE}" pid="63" name="Document Type">
    <vt:lpwstr/>
  </property>
  <property fmtid="{D5CDD505-2E9C-101B-9397-08002B2CF9AE}" pid="64" name="Document_x0020_Status">
    <vt:lpwstr>2;#Current|df72cac5-8e0d-4d03-b54b-576fc92920fe</vt:lpwstr>
  </property>
  <property fmtid="{D5CDD505-2E9C-101B-9397-08002B2CF9AE}" pid="65" name="Official_x0020_Documents_x0020_Type_x0020_">
    <vt:lpwstr>28;#PRD|ed83db93-8a27-4807-a5cd-bfbef47ae9b2</vt:lpwstr>
  </property>
  <property fmtid="{D5CDD505-2E9C-101B-9397-08002B2CF9AE}" pid="66" name="Publishing_x0020_Group">
    <vt:lpwstr>14;#FASG|29204e31-dcb5-4eae-a35e-5e4dc4c69284</vt:lpwstr>
  </property>
  <property fmtid="{D5CDD505-2E9C-101B-9397-08002B2CF9AE}" pid="67" name="GSMADocumentNumber">
    <vt:lpwstr>FS.52</vt:lpwstr>
  </property>
  <property fmtid="{D5CDD505-2E9C-101B-9397-08002B2CF9AE}" pid="68" name="o6964b5dee0843c180e7ed01f980d958">
    <vt:lpwstr/>
  </property>
  <property fmtid="{D5CDD505-2E9C-101B-9397-08002B2CF9AE}" pid="69" name="Confidentiality0">
    <vt:lpwstr>24;#Non-Confidential|88234e20-02b0-4fa1-a42a-97b87d6d5a21</vt:lpwstr>
  </property>
  <property fmtid="{D5CDD505-2E9C-101B-9397-08002B2CF9AE}" pid="70" name="Industry_x0020_Specification">
    <vt:lpwstr>30;#Yes|ef866cb3-20b9-48ba-8c60-02b9b0d4bb2e</vt:lpwstr>
  </property>
  <property fmtid="{D5CDD505-2E9C-101B-9397-08002B2CF9AE}" pid="71" name="Issuing_x0020_Group120">
    <vt:lpwstr>33;#FASG|c39fbddb-ca2a-4d24-853d-7b0071f20570</vt:lpwstr>
  </property>
  <property fmtid="{D5CDD505-2E9C-101B-9397-08002B2CF9AE}" pid="72" name="Approving_x0020_Group120">
    <vt:lpwstr>25;#ISAG|7a82c98e-f1b2-4a9d-8049-0365939f2212</vt:lpwstr>
  </property>
  <property fmtid="{D5CDD505-2E9C-101B-9397-08002B2CF9AE}" pid="73" name="Approving_x0020_Group">
    <vt:lpwstr/>
  </property>
  <property fmtid="{D5CDD505-2E9C-101B-9397-08002B2CF9AE}" pid="74" name="Approving Group120">
    <vt:lpwstr>25;#ISAG|7a82c98e-f1b2-4a9d-8049-0365939f2212</vt:lpwstr>
  </property>
  <property fmtid="{D5CDD505-2E9C-101B-9397-08002B2CF9AE}" pid="75" name="Approving Group">
    <vt:lpwstr/>
  </property>
  <property fmtid="{D5CDD505-2E9C-101B-9397-08002B2CF9AE}" pid="76" name="Issuing Group120">
    <vt:lpwstr>33;#FASG|c39fbddb-ca2a-4d24-853d-7b0071f20570</vt:lpwstr>
  </property>
  <property fmtid="{D5CDD505-2E9C-101B-9397-08002B2CF9AE}" pid="77" name="Industry Specification">
    <vt:lpwstr>30;#Yes|ef866cb3-20b9-48ba-8c60-02b9b0d4bb2e</vt:lpwstr>
  </property>
</Properties>
</file>